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7"/>
        <w:gridCol w:w="2669"/>
      </w:tblGrid>
      <w:tr w:rsidR="005B486D" w:rsidRPr="00BB3674" w14:paraId="32EE59C9" w14:textId="77777777" w:rsidTr="003E2D5E">
        <w:trPr>
          <w:trHeight w:hRule="exact" w:val="2269"/>
        </w:trPr>
        <w:tc>
          <w:tcPr>
            <w:tcW w:w="3725" w:type="pct"/>
            <w:tcBorders>
              <w:top w:val="nil"/>
              <w:left w:val="nil"/>
              <w:bottom w:val="nil"/>
              <w:right w:val="nil"/>
            </w:tcBorders>
            <w:shd w:val="clear" w:color="auto" w:fill="007A87"/>
            <w:vAlign w:val="center"/>
          </w:tcPr>
          <w:p w14:paraId="0F3402CB" w14:textId="6910A1D9" w:rsidR="005B486D" w:rsidRPr="00856E2F" w:rsidRDefault="00EF3367" w:rsidP="00EF3367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72"/>
                <w:szCs w:val="72"/>
              </w:rPr>
            </w:pPr>
            <w:r w:rsidRPr="003E2D5E">
              <w:rPr>
                <w:rFonts w:ascii="Arial Black" w:hAnsi="Arial Black" w:cstheme="majorHAnsi"/>
                <w:color w:val="FFFFFF" w:themeColor="background1"/>
                <w:sz w:val="56"/>
                <w:szCs w:val="56"/>
              </w:rPr>
              <w:t>Modular study and study by credit accumulation</w:t>
            </w:r>
            <w:r w:rsidR="00CB558E" w:rsidRPr="003E2D5E">
              <w:rPr>
                <w:rFonts w:asciiTheme="majorHAnsi" w:hAnsiTheme="majorHAnsi" w:cstheme="majorHAnsi"/>
                <w:color w:val="FFFFFF" w:themeColor="background1"/>
                <w:sz w:val="56"/>
                <w:szCs w:val="56"/>
              </w:rPr>
              <w:t xml:space="preserve"> </w:t>
            </w:r>
            <w:r>
              <w:rPr>
                <w:rFonts w:asciiTheme="majorHAnsi" w:hAnsiTheme="majorHAnsi" w:cstheme="majorHAnsi"/>
                <w:color w:val="FFFFFF" w:themeColor="background1"/>
                <w:sz w:val="56"/>
                <w:szCs w:val="72"/>
              </w:rPr>
              <w:br/>
            </w:r>
            <w:r w:rsidRPr="003E2D5E">
              <w:rPr>
                <w:rFonts w:ascii="Arial Black" w:hAnsi="Arial Black" w:cstheme="majorHAnsi"/>
                <w:color w:val="FFFFFF" w:themeColor="background1"/>
                <w:sz w:val="40"/>
                <w:szCs w:val="48"/>
              </w:rPr>
              <w:t>Information and guidance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007A87"/>
          </w:tcPr>
          <w:p w14:paraId="595BD45A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468336B1" wp14:editId="53EA05A2">
                  <wp:extent cx="1310092" cy="1373550"/>
                  <wp:effectExtent l="0" t="0" r="4445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949DE" w14:textId="1DA462FA" w:rsidR="00EF3367" w:rsidRPr="003E2D5E" w:rsidRDefault="00EF3367" w:rsidP="003E2D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3E2D5E">
        <w:rPr>
          <w:rFonts w:ascii="Arial" w:hAnsi="Arial" w:cs="Arial"/>
        </w:rPr>
        <w:t xml:space="preserve">Modular study is defined as the study of individual modules over </w:t>
      </w:r>
      <w:proofErr w:type="gramStart"/>
      <w:r w:rsidRPr="003E2D5E">
        <w:rPr>
          <w:rFonts w:ascii="Arial" w:hAnsi="Arial" w:cs="Arial"/>
        </w:rPr>
        <w:t>a period of time</w:t>
      </w:r>
      <w:proofErr w:type="gramEnd"/>
      <w:r w:rsidRPr="003E2D5E">
        <w:rPr>
          <w:rFonts w:ascii="Arial" w:hAnsi="Arial" w:cs="Arial"/>
        </w:rPr>
        <w:t>, in which the credits obtained are accumulated and used towards an approved University award in a manner that differs from full-time and part-time awards. A University approved award could be a single module, a series of modules or a course.</w:t>
      </w:r>
    </w:p>
    <w:p w14:paraId="7E59F5A8" w14:textId="3909DF28" w:rsidR="002E73FE" w:rsidRPr="003E2D5E" w:rsidRDefault="00EF3367" w:rsidP="003E2D5E">
      <w:pPr>
        <w:pStyle w:val="Heading1"/>
        <w:spacing w:before="200" w:after="120" w:line="360" w:lineRule="auto"/>
        <w:rPr>
          <w:rFonts w:ascii="Arial Black" w:hAnsi="Arial Black"/>
          <w:color w:val="007A87"/>
          <w:sz w:val="24"/>
          <w:szCs w:val="24"/>
        </w:rPr>
      </w:pPr>
      <w:r w:rsidRPr="003E2D5E">
        <w:rPr>
          <w:rFonts w:ascii="Arial Black" w:hAnsi="Arial Black"/>
          <w:color w:val="007A87"/>
          <w:sz w:val="24"/>
          <w:szCs w:val="24"/>
        </w:rPr>
        <w:t>Undergraduate</w:t>
      </w:r>
    </w:p>
    <w:p w14:paraId="27843CCA" w14:textId="77777777" w:rsidR="00EF3367" w:rsidRPr="003E2D5E" w:rsidRDefault="00EF3367" w:rsidP="003E2D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3E2D5E">
        <w:rPr>
          <w:rFonts w:ascii="Arial" w:hAnsi="Arial" w:cs="Arial"/>
        </w:rPr>
        <w:t>Departments who wish to introduce modular study at the undergraduate level must seek specific approval from the University.</w:t>
      </w:r>
    </w:p>
    <w:p w14:paraId="171CE2AF" w14:textId="77777777" w:rsidR="00EF3367" w:rsidRPr="003E2D5E" w:rsidRDefault="00EF3367" w:rsidP="003E2D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3E2D5E">
        <w:rPr>
          <w:rFonts w:ascii="Arial" w:hAnsi="Arial" w:cs="Arial"/>
        </w:rPr>
        <w:t>Departments should follow the normal </w:t>
      </w:r>
      <w:hyperlink r:id="rId9" w:history="1">
        <w:r w:rsidRPr="00B90E74">
          <w:rPr>
            <w:rStyle w:val="style3"/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approval process</w:t>
        </w:r>
      </w:hyperlink>
      <w:r w:rsidRPr="003E2D5E">
        <w:rPr>
          <w:rFonts w:ascii="Arial" w:hAnsi="Arial" w:cs="Arial"/>
          <w:color w:val="515151"/>
        </w:rPr>
        <w:t> </w:t>
      </w:r>
      <w:r w:rsidRPr="003E2D5E">
        <w:rPr>
          <w:rFonts w:ascii="Arial" w:hAnsi="Arial" w:cs="Arial"/>
        </w:rPr>
        <w:t>for introducing new modules and courses.</w:t>
      </w:r>
    </w:p>
    <w:p w14:paraId="4A310A1F" w14:textId="77777777" w:rsidR="00EF3367" w:rsidRPr="003E2D5E" w:rsidRDefault="00EF3367" w:rsidP="003E2D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3E2D5E">
        <w:rPr>
          <w:rFonts w:ascii="Arial" w:hAnsi="Arial" w:cs="Arial"/>
        </w:rPr>
        <w:t>Before developing an award at the modular level departments are encouraged to engage with staff in the</w:t>
      </w:r>
      <w:r w:rsidRPr="00B90E74">
        <w:rPr>
          <w:rFonts w:ascii="Arial" w:hAnsi="Arial" w:cs="Arial"/>
          <w:color w:val="0000FF"/>
        </w:rPr>
        <w:t> </w:t>
      </w:r>
      <w:hyperlink r:id="rId10" w:history="1">
        <w:r w:rsidRPr="00B90E74">
          <w:rPr>
            <w:rStyle w:val="Hyperlink"/>
            <w:rFonts w:ascii="Arial" w:eastAsiaTheme="majorEastAsia" w:hAnsi="Arial" w:cs="Arial"/>
            <w:b/>
            <w:bCs/>
          </w:rPr>
          <w:t>Marketing and Communications team</w:t>
        </w:r>
      </w:hyperlink>
      <w:r w:rsidRPr="003E2D5E">
        <w:rPr>
          <w:rFonts w:ascii="Arial" w:hAnsi="Arial" w:cs="Arial"/>
          <w:color w:val="515151"/>
        </w:rPr>
        <w:t> </w:t>
      </w:r>
      <w:r w:rsidRPr="003E2D5E">
        <w:rPr>
          <w:rFonts w:ascii="Arial" w:hAnsi="Arial" w:cs="Arial"/>
        </w:rPr>
        <w:t>to determine whether a potential market for modular study exists.</w:t>
      </w:r>
    </w:p>
    <w:p w14:paraId="565E2A17" w14:textId="77777777" w:rsidR="00EF3367" w:rsidRPr="003E2D5E" w:rsidRDefault="00EF3367" w:rsidP="003E2D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3E2D5E">
        <w:rPr>
          <w:rFonts w:ascii="Arial" w:hAnsi="Arial" w:cs="Arial"/>
        </w:rPr>
        <w:t>Principles which should normally apply to modular study include:</w:t>
      </w:r>
    </w:p>
    <w:p w14:paraId="7581A498" w14:textId="77777777" w:rsidR="00EF3367" w:rsidRPr="003E2D5E" w:rsidRDefault="00EF3367" w:rsidP="003E2D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>External Relations should take control of all admissions, including modular students, where this improves the admissions process for both students and staff.</w:t>
      </w:r>
    </w:p>
    <w:p w14:paraId="09945F2C" w14:textId="77777777" w:rsidR="00EF3367" w:rsidRPr="003E2D5E" w:rsidRDefault="00EF3367" w:rsidP="003E2D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 xml:space="preserve">The fee for modular study should be set as part of the approval process and </w:t>
      </w:r>
      <w:proofErr w:type="gramStart"/>
      <w:r w:rsidRPr="003E2D5E">
        <w:rPr>
          <w:rFonts w:ascii="Arial" w:hAnsi="Arial" w:cs="Arial"/>
          <w:sz w:val="24"/>
          <w:szCs w:val="24"/>
        </w:rPr>
        <w:t>take into account</w:t>
      </w:r>
      <w:proofErr w:type="gramEnd"/>
      <w:r w:rsidRPr="003E2D5E">
        <w:rPr>
          <w:rFonts w:ascii="Arial" w:hAnsi="Arial" w:cs="Arial"/>
          <w:sz w:val="24"/>
          <w:szCs w:val="24"/>
        </w:rPr>
        <w:t xml:space="preserve"> market forces and the effect on equivalent and lower qualifications.</w:t>
      </w:r>
    </w:p>
    <w:p w14:paraId="1C13C984" w14:textId="77777777" w:rsidR="00EF3367" w:rsidRPr="003E2D5E" w:rsidRDefault="00EF3367" w:rsidP="003E2D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 xml:space="preserve">The maximum period of registration for an award offered at the modular level should be agreed at the point of approval, </w:t>
      </w:r>
      <w:proofErr w:type="gramStart"/>
      <w:r w:rsidRPr="003E2D5E">
        <w:rPr>
          <w:rFonts w:ascii="Arial" w:hAnsi="Arial" w:cs="Arial"/>
          <w:sz w:val="24"/>
          <w:szCs w:val="24"/>
        </w:rPr>
        <w:t>taking into account</w:t>
      </w:r>
      <w:proofErr w:type="gramEnd"/>
      <w:r w:rsidRPr="003E2D5E">
        <w:rPr>
          <w:rFonts w:ascii="Arial" w:hAnsi="Arial" w:cs="Arial"/>
          <w:sz w:val="24"/>
          <w:szCs w:val="24"/>
        </w:rPr>
        <w:t xml:space="preserve"> any requirements of a professional or academic nature. All variations to the standard maximum period must be approved by the Senate.</w:t>
      </w:r>
    </w:p>
    <w:p w14:paraId="3E269F13" w14:textId="053CDF19" w:rsidR="00EF3367" w:rsidRPr="003E2D5E" w:rsidRDefault="00EF3367" w:rsidP="003E2D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 xml:space="preserve">The standard Undergraduate Rules of Assessment should apply to modular </w:t>
      </w:r>
      <w:r w:rsidR="00ED22E5" w:rsidRPr="003E2D5E">
        <w:rPr>
          <w:rFonts w:ascii="Arial" w:hAnsi="Arial" w:cs="Arial"/>
          <w:sz w:val="24"/>
          <w:szCs w:val="24"/>
        </w:rPr>
        <w:t>students unless</w:t>
      </w:r>
      <w:r w:rsidRPr="003E2D5E">
        <w:rPr>
          <w:rFonts w:ascii="Arial" w:hAnsi="Arial" w:cs="Arial"/>
          <w:sz w:val="24"/>
          <w:szCs w:val="24"/>
        </w:rPr>
        <w:t xml:space="preserve"> a specific variation has been approved by Senate.</w:t>
      </w:r>
    </w:p>
    <w:p w14:paraId="6AB178BC" w14:textId="77777777" w:rsidR="00EF3367" w:rsidRPr="003E2D5E" w:rsidRDefault="00EF3367" w:rsidP="003E2D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 xml:space="preserve">Students applying to study towards an approved university award may be allowed to enrol directly onto a </w:t>
      </w:r>
      <w:proofErr w:type="gramStart"/>
      <w:r w:rsidRPr="003E2D5E">
        <w:rPr>
          <w:rFonts w:ascii="Arial" w:hAnsi="Arial" w:cs="Arial"/>
          <w:sz w:val="24"/>
          <w:szCs w:val="24"/>
        </w:rPr>
        <w:t>higher level</w:t>
      </w:r>
      <w:proofErr w:type="gramEnd"/>
      <w:r w:rsidRPr="003E2D5E">
        <w:rPr>
          <w:rFonts w:ascii="Arial" w:hAnsi="Arial" w:cs="Arial"/>
          <w:sz w:val="24"/>
          <w:szCs w:val="24"/>
        </w:rPr>
        <w:t xml:space="preserve"> module with relevant qualifications or credits in accordance with the University AP(E)L policy.</w:t>
      </w:r>
    </w:p>
    <w:p w14:paraId="3571C686" w14:textId="77777777" w:rsidR="00EF3367" w:rsidRPr="003E2D5E" w:rsidRDefault="00EF3367" w:rsidP="003E2D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lastRenderedPageBreak/>
        <w:t>Boards of Examiners should consider full-time students and modular students at the same meeting, where possible.</w:t>
      </w:r>
    </w:p>
    <w:p w14:paraId="68D9D0AE" w14:textId="77777777" w:rsidR="00EF3367" w:rsidRPr="003E2D5E" w:rsidRDefault="00EF3367" w:rsidP="003E2D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3E2D5E">
        <w:rPr>
          <w:rFonts w:ascii="Arial" w:hAnsi="Arial" w:cs="Arial"/>
        </w:rPr>
        <w:t>Points of guidance which departments may like to consider when offering modular study at the undergraduate level include:</w:t>
      </w:r>
    </w:p>
    <w:p w14:paraId="0727806D" w14:textId="77777777" w:rsidR="00EF3367" w:rsidRPr="003E2D5E" w:rsidRDefault="00EF3367" w:rsidP="003E2D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>Students need to be provided with:</w:t>
      </w:r>
    </w:p>
    <w:p w14:paraId="11768794" w14:textId="3C54B53D" w:rsidR="00EF3367" w:rsidRPr="003E2D5E" w:rsidRDefault="00EF3367" w:rsidP="003E2D5E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 xml:space="preserve">consistent academic counselling throughout the duration of their studies, relating to what options and pathways are available to </w:t>
      </w:r>
      <w:proofErr w:type="gramStart"/>
      <w:r w:rsidRPr="003E2D5E">
        <w:rPr>
          <w:rFonts w:ascii="Arial" w:hAnsi="Arial" w:cs="Arial"/>
          <w:sz w:val="24"/>
          <w:szCs w:val="24"/>
        </w:rPr>
        <w:t>them;</w:t>
      </w:r>
      <w:proofErr w:type="gramEnd"/>
    </w:p>
    <w:p w14:paraId="0B3BF22A" w14:textId="77777777" w:rsidR="00EF3367" w:rsidRPr="003E2D5E" w:rsidRDefault="00EF3367" w:rsidP="003E2D5E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>information that is both clear and explicit throughout their academic career;</w:t>
      </w:r>
    </w:p>
    <w:p w14:paraId="15C5EDFB" w14:textId="77777777" w:rsidR="00EF3367" w:rsidRPr="003E2D5E" w:rsidRDefault="00EF3367" w:rsidP="003E2D5E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>suitable contact time with their teachers and lecturers;</w:t>
      </w:r>
    </w:p>
    <w:p w14:paraId="65477CEA" w14:textId="77777777" w:rsidR="00EF3367" w:rsidRPr="003E2D5E" w:rsidRDefault="00EF3367" w:rsidP="003E2D5E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>access to all necessary resources.</w:t>
      </w:r>
    </w:p>
    <w:p w14:paraId="029008D5" w14:textId="77777777" w:rsidR="00EF3367" w:rsidRPr="003E2D5E" w:rsidRDefault="00EF3367" w:rsidP="003E2D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>Departments need to keep in contact with all modular students, including those who are registered but not actively taking any modules during the term or year.</w:t>
      </w:r>
    </w:p>
    <w:p w14:paraId="6AAF9577" w14:textId="77777777" w:rsidR="00EF3367" w:rsidRPr="003E2D5E" w:rsidRDefault="00EF3367" w:rsidP="003E2D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E2D5E">
        <w:rPr>
          <w:rFonts w:ascii="Arial" w:hAnsi="Arial" w:cs="Arial"/>
          <w:sz w:val="24"/>
          <w:szCs w:val="24"/>
        </w:rPr>
        <w:t>Departments should consider encouraging students to create individual study plans, with specific milestones, to help them achieve their academic goals within a set timeframe.</w:t>
      </w:r>
    </w:p>
    <w:p w14:paraId="0289B75F" w14:textId="36A1C165" w:rsidR="002E73FE" w:rsidRPr="003E2D5E" w:rsidRDefault="00EF3367" w:rsidP="003E2D5E">
      <w:pPr>
        <w:pStyle w:val="Heading1"/>
        <w:spacing w:before="200" w:after="120" w:line="360" w:lineRule="auto"/>
        <w:rPr>
          <w:rFonts w:ascii="Arial Black" w:hAnsi="Arial Black"/>
          <w:color w:val="007A87"/>
          <w:sz w:val="24"/>
          <w:szCs w:val="24"/>
        </w:rPr>
      </w:pPr>
      <w:r w:rsidRPr="003E2D5E">
        <w:rPr>
          <w:rFonts w:ascii="Arial Black" w:hAnsi="Arial Black"/>
          <w:color w:val="007A87"/>
          <w:sz w:val="24"/>
          <w:szCs w:val="24"/>
        </w:rPr>
        <w:t>Postgraduate</w:t>
      </w:r>
    </w:p>
    <w:p w14:paraId="50604987" w14:textId="77777777" w:rsidR="00EF3367" w:rsidRPr="003E2D5E" w:rsidRDefault="00EF3367" w:rsidP="003E2D5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>The Academic Board* and Senate approved the following arrangements for applying the new postgraduate taught (PGT) Rules of Assessment to credit accumulation study:</w:t>
      </w:r>
    </w:p>
    <w:p w14:paraId="18F19936" w14:textId="0D3C5284" w:rsidR="00EF3367" w:rsidRPr="003E2D5E" w:rsidRDefault="00EF3367" w:rsidP="003E2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15151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3E2D5E"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 </w:t>
      </w: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Postgraduate Credit Framework Rules of Assessment should only be applied to students once they have registered on a course leading to an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award.</w:t>
      </w:r>
    </w:p>
    <w:p w14:paraId="078F65F1" w14:textId="7B94BBD3" w:rsidR="00EF3367" w:rsidRPr="003E2D5E" w:rsidRDefault="00EF3367" w:rsidP="003E2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students taking a credit-accumulation route of study have one second attempt at assessment per module taken. Once a student registers on a course of study, the Rules of Assessment relating to second attempts are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applied.</w:t>
      </w:r>
    </w:p>
    <w:p w14:paraId="2346804E" w14:textId="1542A5ED" w:rsidR="00EF3367" w:rsidRPr="00726364" w:rsidRDefault="00EF3367" w:rsidP="007263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>condonement of failure cannot be applied at the module level; modules are either passed and credit awarded, or failed and no credit is awarded.</w:t>
      </w:r>
      <w:r w:rsidRPr="00726364">
        <w:rPr>
          <w:rFonts w:ascii="Arial" w:eastAsia="Times New Roman" w:hAnsi="Arial" w:cs="Arial"/>
          <w:sz w:val="24"/>
          <w:szCs w:val="24"/>
          <w:lang w:eastAsia="en-GB"/>
        </w:rPr>
        <w:t xml:space="preserve"> Once a student registers on a course of study, the Rules of Assessment relating to condonement may be applied from that point </w:t>
      </w:r>
      <w:r w:rsidR="00AD1D83" w:rsidRPr="00726364">
        <w:rPr>
          <w:rFonts w:ascii="Arial" w:eastAsia="Times New Roman" w:hAnsi="Arial" w:cs="Arial"/>
          <w:sz w:val="24"/>
          <w:szCs w:val="24"/>
          <w:lang w:eastAsia="en-GB"/>
        </w:rPr>
        <w:t>onwards.</w:t>
      </w:r>
    </w:p>
    <w:p w14:paraId="62B4FB30" w14:textId="50D77DDE" w:rsidR="00EF3367" w:rsidRPr="003E2D5E" w:rsidRDefault="00EF3367" w:rsidP="003E2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the current AP(E)L arrangements remain for students applying to AP(E)L credits from other institutions, but do not apply to students wanting to use credit awarded at Essex to register on a course of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study.</w:t>
      </w:r>
    </w:p>
    <w:p w14:paraId="54154BE2" w14:textId="09BBF37F" w:rsidR="00EF3367" w:rsidRPr="003E2D5E" w:rsidRDefault="00EF3367" w:rsidP="003E2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students are not automatically given an award and certification; rather, student must apply to register for an award and will only receive certification once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requested.</w:t>
      </w:r>
    </w:p>
    <w:p w14:paraId="500D0913" w14:textId="290A03E2" w:rsidR="00EF3367" w:rsidRPr="003E2D5E" w:rsidRDefault="00EF3367" w:rsidP="003E2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departments could create awards with a generic title, which could be awarded once a student had achieved the required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number</w:t>
      </w: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 of credits in any of the courses linked to the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award.</w:t>
      </w:r>
    </w:p>
    <w:p w14:paraId="1F21EDEE" w14:textId="5BFFAA32" w:rsidR="00EF3367" w:rsidRPr="003E2D5E" w:rsidRDefault="00EF3367" w:rsidP="003E2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departments hold Exam Boards to confirm marks on modules and award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credit.</w:t>
      </w:r>
    </w:p>
    <w:p w14:paraId="73B176A2" w14:textId="7B43FB01" w:rsidR="00EF3367" w:rsidRPr="003E2D5E" w:rsidRDefault="00EF3367" w:rsidP="003E2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the maximum period for completion of studies using credit accumulation should be a period of six years (normally five years to complete all taught elements and a further one year to complete the dissertation (or equivalent)). The maximum period of study would be measured from the point at which a student first registered for a module that was being used towards the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award.</w:t>
      </w:r>
    </w:p>
    <w:p w14:paraId="7A212760" w14:textId="77777777" w:rsidR="00EF3367" w:rsidRPr="003E2D5E" w:rsidRDefault="00EF3367" w:rsidP="003E2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>departments should seek the approval of Education Committee if they wished to introduce a module or discipline-specific credit lifetime that was less than six calendar years.</w:t>
      </w:r>
    </w:p>
    <w:p w14:paraId="64F077E6" w14:textId="38E42847" w:rsidR="00EF3367" w:rsidRPr="003E2D5E" w:rsidRDefault="00EF3367" w:rsidP="003E2D5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Approved by Graduate School Board* (GSB.MM.59-68/07 -21/03/07), and revised following changes made to the Rules of Assessment on 27/06/07. Further updates made to reflect changes to committee structures and terminology (August 2008, August </w:t>
      </w:r>
      <w:proofErr w:type="gramStart"/>
      <w:r w:rsidRPr="003E2D5E">
        <w:rPr>
          <w:rFonts w:ascii="Arial" w:eastAsia="Times New Roman" w:hAnsi="Arial" w:cs="Arial"/>
          <w:sz w:val="24"/>
          <w:szCs w:val="24"/>
          <w:lang w:eastAsia="en-GB"/>
        </w:rPr>
        <w:t>2013</w:t>
      </w:r>
      <w:proofErr w:type="gramEnd"/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 and June 2019)</w:t>
      </w:r>
    </w:p>
    <w:p w14:paraId="78348D4A" w14:textId="77777777" w:rsidR="00EF3367" w:rsidRPr="003E2D5E" w:rsidRDefault="00EF3367" w:rsidP="003E2D5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>The Dean of the Graduate School, acting on behalf of the Academic Board*, approved the following additional arrangements for applying the new PGT Rules of Assessment to credit accumulation study on 21/08/07:</w:t>
      </w:r>
    </w:p>
    <w:p w14:paraId="131D4ED0" w14:textId="23E9EFF6" w:rsidR="00EF3367" w:rsidRPr="003E2D5E" w:rsidRDefault="00EF3367" w:rsidP="003E2D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 xml:space="preserve">the maximum period for the dissertation element of an award undertaken by credit accumulation should be twelve months. Some departments may wish to seek permission for a </w:t>
      </w:r>
      <w:r w:rsidR="00AD1D83" w:rsidRPr="003E2D5E">
        <w:rPr>
          <w:rFonts w:ascii="Arial" w:eastAsia="Times New Roman" w:hAnsi="Arial" w:cs="Arial"/>
          <w:sz w:val="24"/>
          <w:szCs w:val="24"/>
          <w:lang w:eastAsia="en-GB"/>
        </w:rPr>
        <w:t>variation.</w:t>
      </w:r>
    </w:p>
    <w:p w14:paraId="66655003" w14:textId="77777777" w:rsidR="00EF3367" w:rsidRPr="003E2D5E" w:rsidRDefault="00EF3367" w:rsidP="003E2D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>students following a credit accumulation route should not be permitted to commence the dissertation module until at least 60 credits of taught modules have been passed at first attempt.</w:t>
      </w:r>
    </w:p>
    <w:p w14:paraId="57BB63BF" w14:textId="633ECEE9" w:rsidR="00EF3367" w:rsidRPr="003E2D5E" w:rsidRDefault="00EF3367" w:rsidP="003E2D5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2D5E">
        <w:rPr>
          <w:rFonts w:ascii="Arial" w:eastAsia="Times New Roman" w:hAnsi="Arial" w:cs="Arial"/>
          <w:sz w:val="24"/>
          <w:szCs w:val="24"/>
          <w:lang w:eastAsia="en-GB"/>
        </w:rPr>
        <w:t>* Senate has responsibility for consideration and approval of variations to Rules of Assessment following recommendation from the Education Committee (from August 2013).</w:t>
      </w: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373"/>
      </w:tblGrid>
      <w:tr w:rsidR="00D366E0" w:rsidRPr="00D366E0" w14:paraId="7C5D8E03" w14:textId="77777777" w:rsidTr="00DA2414">
        <w:trPr>
          <w:trHeight w:val="289"/>
          <w:jc w:val="center"/>
        </w:trPr>
        <w:tc>
          <w:tcPr>
            <w:tcW w:w="3256" w:type="dxa"/>
            <w:vAlign w:val="center"/>
          </w:tcPr>
          <w:p w14:paraId="4DE89F8A" w14:textId="77777777" w:rsidR="00DA2414" w:rsidRPr="00D366E0" w:rsidRDefault="00DA2414" w:rsidP="00DA2414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  <w:r w:rsidRPr="00D366E0">
              <w:rPr>
                <w:rFonts w:ascii="Arial" w:hAnsi="Arial" w:cs="Arial"/>
                <w:b/>
                <w:szCs w:val="20"/>
              </w:rPr>
              <w:t>Document owner</w:t>
            </w:r>
          </w:p>
        </w:tc>
        <w:tc>
          <w:tcPr>
            <w:tcW w:w="6373" w:type="dxa"/>
            <w:vAlign w:val="center"/>
          </w:tcPr>
          <w:p w14:paraId="703D57C8" w14:textId="77777777" w:rsidR="00DA2414" w:rsidRPr="00D366E0" w:rsidRDefault="00DA2414" w:rsidP="00DA2414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D366E0">
              <w:rPr>
                <w:rFonts w:ascii="Arial" w:hAnsi="Arial" w:cs="Arial"/>
                <w:szCs w:val="20"/>
              </w:rPr>
              <w:t>Quality and Academic Development</w:t>
            </w:r>
          </w:p>
        </w:tc>
      </w:tr>
      <w:tr w:rsidR="00D366E0" w:rsidRPr="00D366E0" w14:paraId="7AE1D8D7" w14:textId="77777777" w:rsidTr="00DA2414">
        <w:trPr>
          <w:trHeight w:val="289"/>
          <w:jc w:val="center"/>
        </w:trPr>
        <w:tc>
          <w:tcPr>
            <w:tcW w:w="3256" w:type="dxa"/>
            <w:vAlign w:val="center"/>
          </w:tcPr>
          <w:p w14:paraId="2C1DFAC2" w14:textId="77777777" w:rsidR="00DA2414" w:rsidRPr="00D366E0" w:rsidRDefault="00DA2414" w:rsidP="00DA2414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  <w:r w:rsidRPr="00D366E0">
              <w:rPr>
                <w:rFonts w:ascii="Arial" w:hAnsi="Arial" w:cs="Arial"/>
                <w:b/>
                <w:szCs w:val="20"/>
              </w:rPr>
              <w:t>Document author</w:t>
            </w:r>
          </w:p>
        </w:tc>
        <w:tc>
          <w:tcPr>
            <w:tcW w:w="6373" w:type="dxa"/>
            <w:vAlign w:val="center"/>
          </w:tcPr>
          <w:p w14:paraId="1529AD16" w14:textId="77777777" w:rsidR="00DA2414" w:rsidRPr="00D366E0" w:rsidRDefault="00DA2414" w:rsidP="00DA2414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D366E0">
              <w:rPr>
                <w:rFonts w:ascii="Arial" w:hAnsi="Arial" w:cs="Arial"/>
                <w:szCs w:val="20"/>
              </w:rPr>
              <w:t>Quality and Academic Development</w:t>
            </w:r>
          </w:p>
        </w:tc>
      </w:tr>
      <w:tr w:rsidR="00D366E0" w:rsidRPr="00D366E0" w14:paraId="491CA6D4" w14:textId="77777777" w:rsidTr="00DA2414">
        <w:trPr>
          <w:trHeight w:val="289"/>
          <w:jc w:val="center"/>
        </w:trPr>
        <w:tc>
          <w:tcPr>
            <w:tcW w:w="3256" w:type="dxa"/>
            <w:vAlign w:val="center"/>
          </w:tcPr>
          <w:p w14:paraId="4548A49E" w14:textId="77777777" w:rsidR="00DA2414" w:rsidRPr="00D366E0" w:rsidRDefault="00DA2414" w:rsidP="00DA2414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  <w:r w:rsidRPr="00D366E0">
              <w:rPr>
                <w:rFonts w:ascii="Arial" w:hAnsi="Arial" w:cs="Arial"/>
                <w:b/>
                <w:szCs w:val="20"/>
              </w:rPr>
              <w:t>Document last reviewed by</w:t>
            </w:r>
          </w:p>
        </w:tc>
        <w:tc>
          <w:tcPr>
            <w:tcW w:w="6373" w:type="dxa"/>
            <w:vAlign w:val="center"/>
          </w:tcPr>
          <w:p w14:paraId="0EE02CA0" w14:textId="130463AC" w:rsidR="00DA2414" w:rsidRPr="00D366E0" w:rsidRDefault="000B3708" w:rsidP="00DA2414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D366E0">
              <w:rPr>
                <w:rFonts w:ascii="Arial" w:hAnsi="Arial" w:cs="Arial"/>
                <w:szCs w:val="20"/>
              </w:rPr>
              <w:t>Aminah Suhail</w:t>
            </w:r>
            <w:r w:rsidR="00EF3367" w:rsidRPr="00D366E0">
              <w:rPr>
                <w:rFonts w:ascii="Arial" w:hAnsi="Arial" w:cs="Arial"/>
                <w:szCs w:val="20"/>
              </w:rPr>
              <w:t xml:space="preserve">, Quality </w:t>
            </w:r>
            <w:r w:rsidR="00D366E0">
              <w:rPr>
                <w:rFonts w:ascii="Arial" w:hAnsi="Arial" w:cs="Arial"/>
                <w:szCs w:val="20"/>
              </w:rPr>
              <w:t>and Academic Development Manager</w:t>
            </w:r>
          </w:p>
        </w:tc>
      </w:tr>
      <w:tr w:rsidR="00D366E0" w:rsidRPr="00D366E0" w14:paraId="3023441B" w14:textId="77777777" w:rsidTr="00DA2414">
        <w:trPr>
          <w:trHeight w:val="289"/>
          <w:jc w:val="center"/>
        </w:trPr>
        <w:tc>
          <w:tcPr>
            <w:tcW w:w="3256" w:type="dxa"/>
            <w:vAlign w:val="center"/>
          </w:tcPr>
          <w:p w14:paraId="6B38EF66" w14:textId="77777777" w:rsidR="00DA2414" w:rsidRPr="00D366E0" w:rsidRDefault="00DA2414" w:rsidP="00DA2414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  <w:r w:rsidRPr="00D366E0">
              <w:rPr>
                <w:rFonts w:ascii="Arial" w:hAnsi="Arial" w:cs="Arial"/>
                <w:b/>
                <w:szCs w:val="20"/>
              </w:rPr>
              <w:t>Date last reviewed</w:t>
            </w:r>
          </w:p>
        </w:tc>
        <w:tc>
          <w:tcPr>
            <w:tcW w:w="6373" w:type="dxa"/>
            <w:vAlign w:val="center"/>
          </w:tcPr>
          <w:p w14:paraId="02451AD6" w14:textId="4F7BE172" w:rsidR="00DA2414" w:rsidRPr="00D366E0" w:rsidRDefault="00D366E0" w:rsidP="00EF3367">
            <w:pPr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October 2023</w:t>
            </w:r>
          </w:p>
        </w:tc>
      </w:tr>
      <w:tr w:rsidR="00D366E0" w:rsidRPr="00D366E0" w14:paraId="27E16ADE" w14:textId="77777777" w:rsidTr="00DA2414">
        <w:trPr>
          <w:trHeight w:val="289"/>
          <w:jc w:val="center"/>
        </w:trPr>
        <w:tc>
          <w:tcPr>
            <w:tcW w:w="3256" w:type="dxa"/>
            <w:vAlign w:val="center"/>
          </w:tcPr>
          <w:p w14:paraId="53F89AC6" w14:textId="77777777" w:rsidR="00DA2414" w:rsidRPr="00D366E0" w:rsidRDefault="00DA2414" w:rsidP="00DA2414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  <w:r w:rsidRPr="00D366E0">
              <w:rPr>
                <w:rFonts w:ascii="Arial" w:hAnsi="Arial" w:cs="Arial"/>
                <w:b/>
                <w:szCs w:val="20"/>
              </w:rPr>
              <w:t>Review frequency</w:t>
            </w:r>
          </w:p>
        </w:tc>
        <w:tc>
          <w:tcPr>
            <w:tcW w:w="6373" w:type="dxa"/>
            <w:vAlign w:val="center"/>
          </w:tcPr>
          <w:p w14:paraId="03567C0B" w14:textId="77777777" w:rsidR="00DA2414" w:rsidRPr="00D366E0" w:rsidRDefault="00DA2414" w:rsidP="00DA2414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D366E0">
              <w:rPr>
                <w:rFonts w:ascii="Arial" w:hAnsi="Arial" w:cs="Arial"/>
                <w:szCs w:val="20"/>
              </w:rPr>
              <w:t>Annually</w:t>
            </w:r>
          </w:p>
        </w:tc>
      </w:tr>
    </w:tbl>
    <w:p w14:paraId="0DCD9B52" w14:textId="77777777" w:rsidR="00DA2414" w:rsidRPr="00DA726F" w:rsidRDefault="00DA2414" w:rsidP="00DA2414">
      <w:pPr>
        <w:spacing w:before="80" w:after="80"/>
        <w:ind w:right="567"/>
        <w:outlineLvl w:val="0"/>
        <w:rPr>
          <w:rFonts w:eastAsia="Times New Roman"/>
          <w:bCs/>
          <w:color w:val="404040" w:themeColor="text1" w:themeTint="BF"/>
          <w:sz w:val="22"/>
        </w:rPr>
      </w:pPr>
    </w:p>
    <w:sectPr w:rsidR="00DA2414" w:rsidRPr="00DA726F" w:rsidSect="00DA2414">
      <w:pgSz w:w="11906" w:h="16838"/>
      <w:pgMar w:top="720" w:right="720" w:bottom="567" w:left="720" w:header="708" w:footer="708" w:gutter="0"/>
      <w:pgBorders w:offsetFrom="page">
        <w:top w:val="single" w:sz="4" w:space="24" w:color="A6A6A6" w:themeColor="background1" w:themeShade="A6"/>
        <w:left w:val="single" w:sz="4" w:space="23" w:color="A6A6A6" w:themeColor="background1" w:themeShade="A6"/>
        <w:bottom w:val="single" w:sz="4" w:space="24" w:color="A6A6A6" w:themeColor="background1" w:themeShade="A6"/>
        <w:right w:val="single" w:sz="4" w:space="23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0514" w14:textId="77777777" w:rsidR="008051C0" w:rsidRDefault="008051C0" w:rsidP="00B22B5D">
      <w:pPr>
        <w:spacing w:after="0"/>
      </w:pPr>
      <w:r>
        <w:separator/>
      </w:r>
    </w:p>
  </w:endnote>
  <w:endnote w:type="continuationSeparator" w:id="0">
    <w:p w14:paraId="4B7D411B" w14:textId="77777777" w:rsidR="008051C0" w:rsidRDefault="008051C0" w:rsidP="00B22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9D2D" w14:textId="77777777" w:rsidR="008051C0" w:rsidRDefault="008051C0" w:rsidP="00B22B5D">
      <w:pPr>
        <w:spacing w:after="0"/>
      </w:pPr>
      <w:r>
        <w:separator/>
      </w:r>
    </w:p>
  </w:footnote>
  <w:footnote w:type="continuationSeparator" w:id="0">
    <w:p w14:paraId="1289BB16" w14:textId="77777777" w:rsidR="008051C0" w:rsidRDefault="008051C0" w:rsidP="00B22B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035014F"/>
    <w:multiLevelType w:val="hybridMultilevel"/>
    <w:tmpl w:val="AFCE0F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1B30"/>
    <w:multiLevelType w:val="multilevel"/>
    <w:tmpl w:val="595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A7E5A"/>
    <w:multiLevelType w:val="multilevel"/>
    <w:tmpl w:val="BDF8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A28F7"/>
    <w:multiLevelType w:val="hybridMultilevel"/>
    <w:tmpl w:val="D228CBB2"/>
    <w:lvl w:ilvl="0" w:tplc="1EF4EC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7A87"/>
        <w:spacing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7052F"/>
    <w:multiLevelType w:val="multilevel"/>
    <w:tmpl w:val="0958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16E87"/>
    <w:multiLevelType w:val="multilevel"/>
    <w:tmpl w:val="DDFCA65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7A87"/>
        <w:spacing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10452"/>
    <w:multiLevelType w:val="multilevel"/>
    <w:tmpl w:val="F9E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57F37"/>
    <w:multiLevelType w:val="hybridMultilevel"/>
    <w:tmpl w:val="46A0E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87AAD"/>
    <w:multiLevelType w:val="multilevel"/>
    <w:tmpl w:val="5298E9E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7A87"/>
        <w:spacing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C10FF"/>
    <w:multiLevelType w:val="multilevel"/>
    <w:tmpl w:val="58CA90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7A87"/>
        <w:spacing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632FB"/>
    <w:multiLevelType w:val="multilevel"/>
    <w:tmpl w:val="E644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25E6A"/>
    <w:multiLevelType w:val="hybridMultilevel"/>
    <w:tmpl w:val="AB06B0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F6B46"/>
    <w:multiLevelType w:val="hybridMultilevel"/>
    <w:tmpl w:val="FB2A0334"/>
    <w:lvl w:ilvl="0" w:tplc="4150F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67D16"/>
    <w:multiLevelType w:val="multilevel"/>
    <w:tmpl w:val="0866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496174">
    <w:abstractNumId w:val="15"/>
  </w:num>
  <w:num w:numId="2" w16cid:durableId="1656448063">
    <w:abstractNumId w:val="0"/>
  </w:num>
  <w:num w:numId="3" w16cid:durableId="171988836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6620918">
    <w:abstractNumId w:val="14"/>
  </w:num>
  <w:num w:numId="5" w16cid:durableId="516696133">
    <w:abstractNumId w:val="11"/>
  </w:num>
  <w:num w:numId="6" w16cid:durableId="1150364491">
    <w:abstractNumId w:val="15"/>
  </w:num>
  <w:num w:numId="7" w16cid:durableId="1354379940">
    <w:abstractNumId w:val="16"/>
  </w:num>
  <w:num w:numId="8" w16cid:durableId="1780293738">
    <w:abstractNumId w:val="13"/>
  </w:num>
  <w:num w:numId="9" w16cid:durableId="513619138">
    <w:abstractNumId w:val="15"/>
  </w:num>
  <w:num w:numId="10" w16cid:durableId="1688480964">
    <w:abstractNumId w:val="15"/>
  </w:num>
  <w:num w:numId="11" w16cid:durableId="253559127">
    <w:abstractNumId w:val="15"/>
  </w:num>
  <w:num w:numId="12" w16cid:durableId="1647735030">
    <w:abstractNumId w:val="1"/>
  </w:num>
  <w:num w:numId="13" w16cid:durableId="2107529465">
    <w:abstractNumId w:val="8"/>
  </w:num>
  <w:num w:numId="14" w16cid:durableId="953823869">
    <w:abstractNumId w:val="7"/>
  </w:num>
  <w:num w:numId="15" w16cid:durableId="462507724">
    <w:abstractNumId w:val="2"/>
  </w:num>
  <w:num w:numId="16" w16cid:durableId="540748242">
    <w:abstractNumId w:val="5"/>
  </w:num>
  <w:num w:numId="17" w16cid:durableId="1154683272">
    <w:abstractNumId w:val="3"/>
  </w:num>
  <w:num w:numId="18" w16cid:durableId="47192717">
    <w:abstractNumId w:val="12"/>
  </w:num>
  <w:num w:numId="19" w16cid:durableId="737435614">
    <w:abstractNumId w:val="9"/>
  </w:num>
  <w:num w:numId="20" w16cid:durableId="1237981194">
    <w:abstractNumId w:val="4"/>
  </w:num>
  <w:num w:numId="21" w16cid:durableId="1368480892">
    <w:abstractNumId w:val="10"/>
  </w:num>
  <w:num w:numId="22" w16cid:durableId="79413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D"/>
    <w:rsid w:val="00052658"/>
    <w:rsid w:val="00061062"/>
    <w:rsid w:val="000B3708"/>
    <w:rsid w:val="000C3C21"/>
    <w:rsid w:val="0019595F"/>
    <w:rsid w:val="001959BE"/>
    <w:rsid w:val="001C4324"/>
    <w:rsid w:val="002406C7"/>
    <w:rsid w:val="00260E32"/>
    <w:rsid w:val="002C1FCD"/>
    <w:rsid w:val="002C4C21"/>
    <w:rsid w:val="002C7A83"/>
    <w:rsid w:val="002E73FE"/>
    <w:rsid w:val="0030481A"/>
    <w:rsid w:val="00380DCB"/>
    <w:rsid w:val="00386A75"/>
    <w:rsid w:val="00390255"/>
    <w:rsid w:val="003A74A2"/>
    <w:rsid w:val="003B49D0"/>
    <w:rsid w:val="003C3516"/>
    <w:rsid w:val="003E2D5E"/>
    <w:rsid w:val="0042790A"/>
    <w:rsid w:val="00427B52"/>
    <w:rsid w:val="004643FC"/>
    <w:rsid w:val="004C3312"/>
    <w:rsid w:val="005B486D"/>
    <w:rsid w:val="00636D0A"/>
    <w:rsid w:val="00674A62"/>
    <w:rsid w:val="00684453"/>
    <w:rsid w:val="006F7AEA"/>
    <w:rsid w:val="0071592A"/>
    <w:rsid w:val="00726364"/>
    <w:rsid w:val="007346CF"/>
    <w:rsid w:val="008051C0"/>
    <w:rsid w:val="00820011"/>
    <w:rsid w:val="00841161"/>
    <w:rsid w:val="00856E2F"/>
    <w:rsid w:val="00860883"/>
    <w:rsid w:val="00865C70"/>
    <w:rsid w:val="008B01DB"/>
    <w:rsid w:val="008B098A"/>
    <w:rsid w:val="008B6EAD"/>
    <w:rsid w:val="009034BE"/>
    <w:rsid w:val="009640A4"/>
    <w:rsid w:val="009C5CF7"/>
    <w:rsid w:val="009F6EAA"/>
    <w:rsid w:val="00A16022"/>
    <w:rsid w:val="00A270BD"/>
    <w:rsid w:val="00A779C7"/>
    <w:rsid w:val="00AB4CCC"/>
    <w:rsid w:val="00AC4F0C"/>
    <w:rsid w:val="00AD1D83"/>
    <w:rsid w:val="00B16FEC"/>
    <w:rsid w:val="00B22B5D"/>
    <w:rsid w:val="00B8045F"/>
    <w:rsid w:val="00B8237B"/>
    <w:rsid w:val="00B90E74"/>
    <w:rsid w:val="00BB00A8"/>
    <w:rsid w:val="00BB3674"/>
    <w:rsid w:val="00C83908"/>
    <w:rsid w:val="00CB558E"/>
    <w:rsid w:val="00CF795F"/>
    <w:rsid w:val="00D06199"/>
    <w:rsid w:val="00D366E0"/>
    <w:rsid w:val="00D60574"/>
    <w:rsid w:val="00DA2414"/>
    <w:rsid w:val="00DA726F"/>
    <w:rsid w:val="00E2506E"/>
    <w:rsid w:val="00E4041D"/>
    <w:rsid w:val="00E71139"/>
    <w:rsid w:val="00ED22E5"/>
    <w:rsid w:val="00EE6D7C"/>
    <w:rsid w:val="00EF3367"/>
    <w:rsid w:val="00F26582"/>
    <w:rsid w:val="00F76931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4A2C"/>
  <w15:docId w15:val="{47267439-812A-458F-9B74-2A8324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styleId="GridTable5Dark-Accent6">
    <w:name w:val="Grid Table 5 Dark Accent 6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2B5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2B5D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04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3FE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3FE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3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3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2"/>
    <w:basedOn w:val="DefaultParagraphFont"/>
    <w:rsid w:val="00EF3367"/>
  </w:style>
  <w:style w:type="character" w:customStyle="1" w:styleId="style3">
    <w:name w:val="style3"/>
    <w:basedOn w:val="DefaultParagraphFont"/>
    <w:rsid w:val="00EF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ssex.ac.uk/staff/marketing-and-communications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essex.ac.uk/quality/course_design_approval_and_modifications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758290-0946-49C0-943D-5460F456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study and study by credit accumulation - information and guidance</dc:title>
  <dc:creator>QUAD</dc:creator>
  <cp:keywords>Modular study and study by credit accumulation _x000d_
Information and guidance</cp:keywords>
  <cp:lastModifiedBy>Nash, Luke T W</cp:lastModifiedBy>
  <cp:revision>2</cp:revision>
  <dcterms:created xsi:type="dcterms:W3CDTF">2023-10-20T08:30:00Z</dcterms:created>
  <dcterms:modified xsi:type="dcterms:W3CDTF">2023-10-20T08:30:00Z</dcterms:modified>
</cp:coreProperties>
</file>