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155A" w14:textId="289A027F" w:rsidR="001B0DC5" w:rsidRPr="007011F4" w:rsidRDefault="001B0DC5" w:rsidP="001B0DC5">
      <w:pPr>
        <w:shd w:val="clear" w:color="auto" w:fill="066684" w:themeFill="accent6" w:themeFillShade="BF"/>
        <w:spacing w:after="0"/>
        <w:rPr>
          <w:rFonts w:ascii="Arial Black" w:hAnsi="Arial Black" w:cs="Arial"/>
          <w:color w:val="FFFFFF" w:themeColor="background1"/>
          <w:sz w:val="36"/>
          <w:szCs w:val="36"/>
        </w:rPr>
      </w:pPr>
      <w:bookmarkStart w:id="0" w:name="_Hlk111453718"/>
      <w:r w:rsidRPr="007011F4">
        <w:rPr>
          <w:rFonts w:ascii="Arial Black" w:hAnsi="Arial Black" w:cs="Arial"/>
          <w:color w:val="FFFFFF" w:themeColor="background1"/>
          <w:sz w:val="36"/>
          <w:szCs w:val="36"/>
        </w:rPr>
        <w:t>Approval and Reporting Rout</w:t>
      </w:r>
      <w:bookmarkStart w:id="1" w:name="Approval"/>
      <w:bookmarkEnd w:id="1"/>
      <w:r w:rsidRPr="007011F4">
        <w:rPr>
          <w:rFonts w:ascii="Arial Black" w:hAnsi="Arial Black" w:cs="Arial"/>
          <w:color w:val="FFFFFF" w:themeColor="background1"/>
          <w:sz w:val="36"/>
          <w:szCs w:val="36"/>
        </w:rPr>
        <w:t xml:space="preserve">es – </w:t>
      </w:r>
      <w:r>
        <w:rPr>
          <w:rFonts w:ascii="Arial Black" w:hAnsi="Arial Black" w:cs="Arial"/>
          <w:color w:val="FFFFFF" w:themeColor="background1"/>
          <w:sz w:val="36"/>
          <w:szCs w:val="36"/>
        </w:rPr>
        <w:t>Student Surveys</w:t>
      </w:r>
    </w:p>
    <w:bookmarkEnd w:id="0"/>
    <w:p w14:paraId="4903C9B8" w14:textId="315E7535" w:rsidR="000A2F52" w:rsidRPr="000A2F52" w:rsidRDefault="001B0DC5" w:rsidP="000A2F52">
      <w:pPr>
        <w:spacing w:before="120" w:after="120" w:line="240" w:lineRule="auto"/>
        <w:rPr>
          <w:rFonts w:ascii="Arial" w:hAnsi="Arial" w:cs="Arial"/>
          <w:b/>
          <w:bCs/>
          <w:color w:val="0D0D0D" w:themeColor="text1" w:themeTint="F2"/>
          <w:sz w:val="32"/>
          <w:szCs w:val="32"/>
          <w:u w:val="single"/>
        </w:rPr>
      </w:pPr>
      <w:r w:rsidRPr="000A2F52">
        <w:rPr>
          <w:rFonts w:ascii="Arial" w:hAnsi="Arial" w:cs="Arial"/>
          <w:b/>
          <w:bCs/>
          <w:color w:val="0D0D0D" w:themeColor="text1" w:themeTint="F2"/>
          <w:sz w:val="32"/>
          <w:szCs w:val="32"/>
          <w:u w:val="single"/>
        </w:rPr>
        <w:t>External Surveys</w:t>
      </w:r>
    </w:p>
    <w:p w14:paraId="59FB62D4" w14:textId="6C961558" w:rsidR="001B0DC5" w:rsidRDefault="001B0DC5" w:rsidP="000A2F52">
      <w:pPr>
        <w:spacing w:before="120" w:after="120" w:line="240" w:lineRule="auto"/>
        <w:rPr>
          <w:rFonts w:ascii="Arial" w:hAnsi="Arial" w:cs="Arial"/>
          <w:b/>
          <w:bCs/>
          <w:color w:val="0D0D0D" w:themeColor="text1" w:themeTint="F2"/>
          <w:sz w:val="28"/>
          <w:szCs w:val="28"/>
        </w:rPr>
      </w:pPr>
      <w:r>
        <w:rPr>
          <w:rFonts w:ascii="Arial" w:hAnsi="Arial" w:cs="Arial"/>
          <w:b/>
          <w:bCs/>
          <w:color w:val="0D0D0D" w:themeColor="text1" w:themeTint="F2"/>
          <w:sz w:val="28"/>
          <w:szCs w:val="28"/>
        </w:rPr>
        <w:t>National Student Survey:</w:t>
      </w:r>
    </w:p>
    <w:tbl>
      <w:tblPr>
        <w:tblStyle w:val="GridTable5Dark-Accent1"/>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75"/>
        <w:gridCol w:w="4252"/>
      </w:tblGrid>
      <w:tr w:rsidR="001B0DC5" w:rsidRPr="001B0DC5" w14:paraId="5944D509" w14:textId="77777777" w:rsidTr="2BB461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AF0F3" w:themeFill="accent5" w:themeFillTint="33"/>
          </w:tcPr>
          <w:p w14:paraId="0BFB1131" w14:textId="77777777" w:rsidR="001B0DC5" w:rsidRPr="001B0DC5" w:rsidRDefault="001B0DC5" w:rsidP="0008326F">
            <w:pPr>
              <w:spacing w:before="120" w:after="12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Method of reporting:</w:t>
            </w:r>
          </w:p>
        </w:tc>
        <w:tc>
          <w:tcPr>
            <w:tcW w:w="8075" w:type="dxa"/>
            <w:tcBorders>
              <w:top w:val="none" w:sz="0" w:space="0" w:color="auto"/>
              <w:left w:val="none" w:sz="0" w:space="0" w:color="auto"/>
              <w:right w:val="none" w:sz="0" w:space="0" w:color="auto"/>
            </w:tcBorders>
            <w:shd w:val="clear" w:color="auto" w:fill="DAF0F3" w:themeFill="accent5" w:themeFillTint="33"/>
          </w:tcPr>
          <w:p w14:paraId="39CF2DB6" w14:textId="77777777" w:rsidR="001B0DC5" w:rsidRPr="001B0DC5" w:rsidRDefault="001B0DC5"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Recipient:</w:t>
            </w:r>
          </w:p>
        </w:tc>
        <w:tc>
          <w:tcPr>
            <w:tcW w:w="4252" w:type="dxa"/>
            <w:tcBorders>
              <w:top w:val="none" w:sz="0" w:space="0" w:color="auto"/>
              <w:left w:val="none" w:sz="0" w:space="0" w:color="auto"/>
              <w:right w:val="none" w:sz="0" w:space="0" w:color="auto"/>
            </w:tcBorders>
            <w:shd w:val="clear" w:color="auto" w:fill="DAF0F3" w:themeFill="accent5" w:themeFillTint="33"/>
          </w:tcPr>
          <w:p w14:paraId="5C197FB3" w14:textId="77777777" w:rsidR="001B0DC5" w:rsidRPr="001B0DC5" w:rsidRDefault="001B0DC5"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Expected onward use:</w:t>
            </w:r>
          </w:p>
        </w:tc>
      </w:tr>
      <w:tr w:rsidR="001B0DC5" w:rsidRPr="001B0DC5" w14:paraId="58ECBF17" w14:textId="77777777" w:rsidTr="2BB461CC">
        <w:trPr>
          <w:cnfStyle w:val="000000100000" w:firstRow="0" w:lastRow="0" w:firstColumn="0" w:lastColumn="0" w:oddVBand="0" w:evenVBand="0" w:oddHBand="1" w:evenHBand="0" w:firstRowFirstColumn="0" w:firstRowLastColumn="0" w:lastRowFirstColumn="0" w:lastRowLastColumn="0"/>
          <w:trHeight w:val="84"/>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40ADA066"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Update first hour after survey release</w:t>
            </w:r>
          </w:p>
        </w:tc>
        <w:tc>
          <w:tcPr>
            <w:tcW w:w="8075" w:type="dxa"/>
            <w:shd w:val="clear" w:color="auto" w:fill="FFFFFF" w:themeFill="background1"/>
            <w:vAlign w:val="center"/>
          </w:tcPr>
          <w:p w14:paraId="5FEF32A2" w14:textId="77777777" w:rsidR="001B0DC5" w:rsidRPr="001B0DC5" w:rsidRDefault="001B0DC5" w:rsidP="0008326F">
            <w:pPr>
              <w:pStyle w:val="ListParagraph"/>
              <w:numPr>
                <w:ilvl w:val="0"/>
                <w:numId w:val="2"/>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Senior Leadership Team</w:t>
            </w:r>
          </w:p>
          <w:p w14:paraId="767658ED" w14:textId="77777777" w:rsidR="001B0DC5" w:rsidRPr="001B0DC5" w:rsidRDefault="001B0DC5" w:rsidP="0008326F">
            <w:pPr>
              <w:pStyle w:val="ListParagraph"/>
              <w:numPr>
                <w:ilvl w:val="0"/>
                <w:numId w:val="2"/>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Planning and Data Insights (PDI) team</w:t>
            </w:r>
          </w:p>
          <w:p w14:paraId="353E6167" w14:textId="77777777" w:rsidR="001B0DC5" w:rsidRPr="001B0DC5" w:rsidRDefault="001B0DC5" w:rsidP="0008326F">
            <w:pPr>
              <w:pStyle w:val="ListParagraph"/>
              <w:numPr>
                <w:ilvl w:val="0"/>
                <w:numId w:val="2"/>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Specific contacts in Communications and Marketing and Student Recruitment</w:t>
            </w:r>
          </w:p>
          <w:p w14:paraId="352B7613" w14:textId="77777777" w:rsidR="001B0DC5" w:rsidRPr="001B0DC5" w:rsidRDefault="001B0DC5" w:rsidP="0008326F">
            <w:pPr>
              <w:pStyle w:val="ListParagraph"/>
              <w:numPr>
                <w:ilvl w:val="0"/>
                <w:numId w:val="2"/>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Head of Students’ Union (SU)</w:t>
            </w:r>
          </w:p>
          <w:p w14:paraId="5F5D7F95" w14:textId="77777777" w:rsidR="001B0DC5" w:rsidRPr="001B0DC5" w:rsidRDefault="001B0DC5" w:rsidP="0008326F">
            <w:pPr>
              <w:pStyle w:val="ListParagraph"/>
              <w:numPr>
                <w:ilvl w:val="0"/>
                <w:numId w:val="2"/>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Academic Registrar</w:t>
            </w:r>
          </w:p>
        </w:tc>
        <w:tc>
          <w:tcPr>
            <w:tcW w:w="4252" w:type="dxa"/>
            <w:shd w:val="clear" w:color="auto" w:fill="FFFFFF" w:themeFill="background1"/>
            <w:vAlign w:val="center"/>
          </w:tcPr>
          <w:p w14:paraId="20F45850" w14:textId="6ED94259"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For info</w:t>
            </w:r>
            <w:r>
              <w:rPr>
                <w:rFonts w:ascii="Arial" w:hAnsi="Arial" w:cs="Arial"/>
                <w:color w:val="0D0D0D" w:themeColor="text1" w:themeTint="F2"/>
                <w:sz w:val="24"/>
                <w:szCs w:val="24"/>
              </w:rPr>
              <w:t>rmation</w:t>
            </w:r>
            <w:r w:rsidRPr="001B0DC5">
              <w:rPr>
                <w:rFonts w:ascii="Arial" w:hAnsi="Arial" w:cs="Arial"/>
                <w:color w:val="0D0D0D" w:themeColor="text1" w:themeTint="F2"/>
                <w:sz w:val="24"/>
                <w:szCs w:val="24"/>
              </w:rPr>
              <w:t>, communications and messaging</w:t>
            </w:r>
            <w:r w:rsidR="002A6FC7">
              <w:rPr>
                <w:rFonts w:ascii="Arial" w:hAnsi="Arial" w:cs="Arial"/>
                <w:color w:val="0D0D0D" w:themeColor="text1" w:themeTint="F2"/>
                <w:sz w:val="24"/>
                <w:szCs w:val="24"/>
              </w:rPr>
              <w:t>.</w:t>
            </w:r>
          </w:p>
        </w:tc>
      </w:tr>
      <w:tr w:rsidR="001B0DC5" w:rsidRPr="001B0DC5" w14:paraId="3897FEB1" w14:textId="77777777" w:rsidTr="2BB461CC">
        <w:trPr>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0D6BC0E2"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Update by end of day of the release</w:t>
            </w:r>
          </w:p>
        </w:tc>
        <w:tc>
          <w:tcPr>
            <w:tcW w:w="8075" w:type="dxa"/>
            <w:shd w:val="clear" w:color="auto" w:fill="FFFFFF" w:themeFill="background1"/>
            <w:vAlign w:val="center"/>
          </w:tcPr>
          <w:p w14:paraId="79D34450"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University Steering Group (USG) members &amp; secretary</w:t>
            </w:r>
          </w:p>
          <w:p w14:paraId="38F0A354"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Data Digest contact list</w:t>
            </w:r>
          </w:p>
          <w:p w14:paraId="02B6A782"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Director of Marketing and Student Recruitment</w:t>
            </w:r>
          </w:p>
          <w:p w14:paraId="3444DF79"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Academic Registrar</w:t>
            </w:r>
          </w:p>
          <w:p w14:paraId="513DF61B"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Student Experience Team</w:t>
            </w:r>
          </w:p>
          <w:p w14:paraId="51174FC9"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Deputy Director of Academic Services (Quality and Development)</w:t>
            </w:r>
          </w:p>
          <w:p w14:paraId="065CB408" w14:textId="77777777" w:rsidR="001B0DC5" w:rsidRPr="001B0DC5" w:rsidRDefault="001B0DC5" w:rsidP="0008326F">
            <w:pPr>
              <w:pStyle w:val="ListParagraph"/>
              <w:numPr>
                <w:ilvl w:val="0"/>
                <w:numId w:val="3"/>
              </w:numPr>
              <w:spacing w:before="240" w:after="240"/>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Faculty Managers</w:t>
            </w:r>
          </w:p>
        </w:tc>
        <w:tc>
          <w:tcPr>
            <w:tcW w:w="4252" w:type="dxa"/>
            <w:shd w:val="clear" w:color="auto" w:fill="FFFFFF" w:themeFill="background1"/>
            <w:vAlign w:val="center"/>
          </w:tcPr>
          <w:p w14:paraId="2D733A80" w14:textId="70ECE3FA" w:rsidR="001B0DC5" w:rsidRPr="001B0DC5" w:rsidRDefault="2BB461CC"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2BB461CC">
              <w:rPr>
                <w:rFonts w:ascii="Arial" w:hAnsi="Arial" w:cs="Arial"/>
                <w:color w:val="0D0D0D" w:themeColor="text1" w:themeTint="F2"/>
                <w:sz w:val="24"/>
                <w:szCs w:val="24"/>
              </w:rPr>
              <w:t>For information</w:t>
            </w:r>
            <w:r w:rsidR="002A6FC7">
              <w:rPr>
                <w:rFonts w:ascii="Arial" w:hAnsi="Arial" w:cs="Arial"/>
                <w:color w:val="0D0D0D" w:themeColor="text1" w:themeTint="F2"/>
                <w:sz w:val="24"/>
                <w:szCs w:val="24"/>
              </w:rPr>
              <w:t>;</w:t>
            </w:r>
            <w:r w:rsidRPr="2BB461CC">
              <w:rPr>
                <w:rFonts w:ascii="Arial" w:hAnsi="Arial" w:cs="Arial"/>
                <w:color w:val="0D0D0D" w:themeColor="text1" w:themeTint="F2"/>
                <w:sz w:val="24"/>
                <w:szCs w:val="24"/>
              </w:rPr>
              <w:t xml:space="preserve"> may start to identify areas to investigate</w:t>
            </w:r>
            <w:r w:rsidR="002A6FC7">
              <w:rPr>
                <w:rFonts w:ascii="Arial" w:hAnsi="Arial" w:cs="Arial"/>
                <w:color w:val="0D0D0D" w:themeColor="text1" w:themeTint="F2"/>
                <w:sz w:val="24"/>
                <w:szCs w:val="24"/>
              </w:rPr>
              <w:t xml:space="preserve"> and potentially cascade information down to departments.</w:t>
            </w:r>
          </w:p>
        </w:tc>
      </w:tr>
      <w:tr w:rsidR="001B0DC5" w:rsidRPr="001B0DC5" w14:paraId="42C0228F" w14:textId="77777777" w:rsidTr="2BB461CC">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3A129D00"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Comments shared - all comments compiled for analysis</w:t>
            </w:r>
          </w:p>
        </w:tc>
        <w:tc>
          <w:tcPr>
            <w:tcW w:w="8075" w:type="dxa"/>
            <w:shd w:val="clear" w:color="auto" w:fill="FFFFFF" w:themeFill="background1"/>
            <w:vAlign w:val="center"/>
          </w:tcPr>
          <w:p w14:paraId="771DD486"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Student Experience Team</w:t>
            </w:r>
          </w:p>
          <w:p w14:paraId="4E6F1C7A"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Student Voice Manager</w:t>
            </w:r>
          </w:p>
          <w:p w14:paraId="17A461A5"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Vice-Chancellor</w:t>
            </w:r>
          </w:p>
          <w:p w14:paraId="1842AAF2"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Pro-Vice-Chancellor (Education)</w:t>
            </w:r>
          </w:p>
          <w:p w14:paraId="50A4BBA3"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Director of IT Services</w:t>
            </w:r>
          </w:p>
          <w:p w14:paraId="5ABF3F1E"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Director of Communications</w:t>
            </w:r>
          </w:p>
          <w:p w14:paraId="75E5591B" w14:textId="77777777" w:rsidR="001B0DC5" w:rsidRPr="001B0DC5" w:rsidRDefault="001B0DC5" w:rsidP="0008326F">
            <w:pPr>
              <w:pStyle w:val="ListParagraph"/>
              <w:numPr>
                <w:ilvl w:val="0"/>
                <w:numId w:val="4"/>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Director of Library Services and University Librarian</w:t>
            </w:r>
          </w:p>
        </w:tc>
        <w:tc>
          <w:tcPr>
            <w:tcW w:w="4252" w:type="dxa"/>
            <w:shd w:val="clear" w:color="auto" w:fill="FFFFFF" w:themeFill="background1"/>
            <w:vAlign w:val="center"/>
          </w:tcPr>
          <w:p w14:paraId="7A9860A2"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Each professional department contact analyses the comments to find feedback relevant to their area.</w:t>
            </w:r>
          </w:p>
        </w:tc>
      </w:tr>
      <w:tr w:rsidR="001B0DC5" w:rsidRPr="001B0DC5" w14:paraId="1D44A931" w14:textId="77777777" w:rsidTr="2BB461CC">
        <w:trPr>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5FFA9D97"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 xml:space="preserve">Comments shared - department comment </w:t>
            </w:r>
            <w:r w:rsidRPr="001B0DC5">
              <w:rPr>
                <w:rFonts w:ascii="Arial" w:hAnsi="Arial" w:cs="Arial"/>
                <w:color w:val="0D0D0D" w:themeColor="text1" w:themeTint="F2"/>
                <w:sz w:val="24"/>
                <w:szCs w:val="24"/>
              </w:rPr>
              <w:lastRenderedPageBreak/>
              <w:t>sheets for Planning Information Portal (PIP)</w:t>
            </w:r>
          </w:p>
        </w:tc>
        <w:tc>
          <w:tcPr>
            <w:tcW w:w="8075" w:type="dxa"/>
            <w:shd w:val="clear" w:color="auto" w:fill="FFFFFF" w:themeFill="background1"/>
            <w:vAlign w:val="center"/>
          </w:tcPr>
          <w:p w14:paraId="2C7C9B4C"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lastRenderedPageBreak/>
              <w:t>Those who have access or admin rights to the Planning Information Portal on SharePoint - academic departments only see their own comments</w:t>
            </w:r>
          </w:p>
        </w:tc>
        <w:tc>
          <w:tcPr>
            <w:tcW w:w="4252" w:type="dxa"/>
            <w:shd w:val="clear" w:color="auto" w:fill="FFFFFF" w:themeFill="background1"/>
            <w:vAlign w:val="center"/>
          </w:tcPr>
          <w:p w14:paraId="435E8C99"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 xml:space="preserve">Departments are expected to read the comments to find more context to their results. They are reviewed for </w:t>
            </w:r>
            <w:r w:rsidRPr="001B0DC5">
              <w:rPr>
                <w:rFonts w:ascii="Arial" w:hAnsi="Arial" w:cs="Arial"/>
                <w:color w:val="0D0D0D" w:themeColor="text1" w:themeTint="F2"/>
                <w:sz w:val="24"/>
                <w:szCs w:val="24"/>
              </w:rPr>
              <w:lastRenderedPageBreak/>
              <w:t>any NSS action plans, if not their departmental plan, and are also referred to in Annual Planning meetings</w:t>
            </w:r>
          </w:p>
        </w:tc>
      </w:tr>
      <w:tr w:rsidR="001B0DC5" w:rsidRPr="001B0DC5" w14:paraId="6504B506" w14:textId="77777777" w:rsidTr="2BB461CC">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6E1B8DF2"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lastRenderedPageBreak/>
              <w:t>Partner data shared</w:t>
            </w:r>
          </w:p>
        </w:tc>
        <w:tc>
          <w:tcPr>
            <w:tcW w:w="8075" w:type="dxa"/>
            <w:shd w:val="clear" w:color="auto" w:fill="FFFFFF" w:themeFill="background1"/>
            <w:vAlign w:val="center"/>
          </w:tcPr>
          <w:p w14:paraId="32217241"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Partner contacts for those who have results included as 'Registered'</w:t>
            </w:r>
          </w:p>
        </w:tc>
        <w:tc>
          <w:tcPr>
            <w:tcW w:w="4252" w:type="dxa"/>
            <w:shd w:val="clear" w:color="auto" w:fill="FFFFFF" w:themeFill="background1"/>
            <w:vAlign w:val="center"/>
          </w:tcPr>
          <w:p w14:paraId="4828EC79"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For the Partners to analyse their results.</w:t>
            </w:r>
          </w:p>
        </w:tc>
      </w:tr>
      <w:tr w:rsidR="001B0DC5" w:rsidRPr="001B0DC5" w14:paraId="09625B0F" w14:textId="77777777" w:rsidTr="2BB461CC">
        <w:trPr>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00A18392"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Dashboard</w:t>
            </w:r>
          </w:p>
        </w:tc>
        <w:tc>
          <w:tcPr>
            <w:tcW w:w="8075" w:type="dxa"/>
            <w:shd w:val="clear" w:color="auto" w:fill="FFFFFF" w:themeFill="background1"/>
            <w:vAlign w:val="center"/>
          </w:tcPr>
          <w:p w14:paraId="4F412A17"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 xml:space="preserve">All those who are on the </w:t>
            </w:r>
            <w:r w:rsidRPr="001B0DC5">
              <w:rPr>
                <w:rFonts w:ascii="Arial" w:hAnsi="Arial" w:cs="Arial"/>
                <w:i/>
                <w:iCs/>
                <w:color w:val="0D0D0D" w:themeColor="text1" w:themeTint="F2"/>
                <w:sz w:val="24"/>
                <w:szCs w:val="24"/>
              </w:rPr>
              <w:t>planning_general</w:t>
            </w:r>
            <w:r w:rsidRPr="001B0DC5">
              <w:rPr>
                <w:rFonts w:ascii="Arial" w:hAnsi="Arial" w:cs="Arial"/>
                <w:color w:val="0D0D0D" w:themeColor="text1" w:themeTint="F2"/>
                <w:sz w:val="24"/>
                <w:szCs w:val="24"/>
              </w:rPr>
              <w:t xml:space="preserve"> access group for tableau</w:t>
            </w:r>
          </w:p>
        </w:tc>
        <w:tc>
          <w:tcPr>
            <w:tcW w:w="4252" w:type="dxa"/>
            <w:shd w:val="clear" w:color="auto" w:fill="FFFFFF" w:themeFill="background1"/>
            <w:vAlign w:val="center"/>
          </w:tcPr>
          <w:p w14:paraId="11F89B16"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There as a resource for anyone who needs this for their role. Results are available by Department and courses. Some demographic splits are included at a university level. Sector dashboard at subject level is also available.</w:t>
            </w:r>
          </w:p>
        </w:tc>
      </w:tr>
      <w:tr w:rsidR="001B0DC5" w:rsidRPr="001B0DC5" w14:paraId="2B86E013" w14:textId="77777777" w:rsidTr="2BB461CC">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1D4C0D8B"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NSS Committee Paper (with free-text analysis)</w:t>
            </w:r>
          </w:p>
        </w:tc>
        <w:tc>
          <w:tcPr>
            <w:tcW w:w="8075" w:type="dxa"/>
            <w:shd w:val="clear" w:color="auto" w:fill="FFFFFF" w:themeFill="background1"/>
            <w:vAlign w:val="center"/>
          </w:tcPr>
          <w:p w14:paraId="09B03EBA" w14:textId="77777777" w:rsidR="001B0DC5" w:rsidRPr="001B0DC5" w:rsidRDefault="001B0DC5" w:rsidP="0008326F">
            <w:pPr>
              <w:pStyle w:val="ListParagraph"/>
              <w:numPr>
                <w:ilvl w:val="0"/>
                <w:numId w:val="5"/>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Student Experience Committee (SEC)</w:t>
            </w:r>
          </w:p>
          <w:p w14:paraId="49632602" w14:textId="77777777" w:rsidR="001B0DC5" w:rsidRPr="001B0DC5" w:rsidRDefault="001B0DC5" w:rsidP="0008326F">
            <w:pPr>
              <w:pStyle w:val="ListParagraph"/>
              <w:numPr>
                <w:ilvl w:val="0"/>
                <w:numId w:val="5"/>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University Steering Group (USG)</w:t>
            </w:r>
          </w:p>
          <w:p w14:paraId="7BB5FCA8" w14:textId="77777777" w:rsidR="001B0DC5" w:rsidRPr="001B0DC5" w:rsidRDefault="001B0DC5" w:rsidP="0008326F">
            <w:pPr>
              <w:pStyle w:val="ListParagraph"/>
              <w:numPr>
                <w:ilvl w:val="0"/>
                <w:numId w:val="5"/>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Council</w:t>
            </w:r>
          </w:p>
          <w:p w14:paraId="0FAAA262" w14:textId="77777777" w:rsidR="001B0DC5" w:rsidRPr="001B0DC5" w:rsidRDefault="001B0DC5" w:rsidP="0008326F">
            <w:pPr>
              <w:pStyle w:val="ListParagraph"/>
              <w:numPr>
                <w:ilvl w:val="0"/>
                <w:numId w:val="5"/>
              </w:numPr>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Education Committee (EC)</w:t>
            </w:r>
          </w:p>
        </w:tc>
        <w:tc>
          <w:tcPr>
            <w:tcW w:w="4252" w:type="dxa"/>
            <w:shd w:val="clear" w:color="auto" w:fill="FFFFFF" w:themeFill="background1"/>
            <w:vAlign w:val="center"/>
          </w:tcPr>
          <w:p w14:paraId="20244C11"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Paper authored by the Planning and Data Insights team is used to inform committees of the results, reassure of actions already in place, and to allow them to identify additional actions.</w:t>
            </w:r>
          </w:p>
        </w:tc>
      </w:tr>
      <w:tr w:rsidR="001B0DC5" w:rsidRPr="001B0DC5" w14:paraId="633F75CE" w14:textId="77777777" w:rsidTr="2BB461CC">
        <w:trPr>
          <w:trHeight w:val="78"/>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vAlign w:val="center"/>
          </w:tcPr>
          <w:p w14:paraId="704EFFB5"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Annual Planning Round/Annual Review of Courses (ARC) dashboards</w:t>
            </w:r>
          </w:p>
        </w:tc>
        <w:tc>
          <w:tcPr>
            <w:tcW w:w="8075" w:type="dxa"/>
            <w:shd w:val="clear" w:color="auto" w:fill="FFFFFF" w:themeFill="background1"/>
            <w:vAlign w:val="center"/>
          </w:tcPr>
          <w:p w14:paraId="21B4B58C"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Those involved with the ARC and/or Annual Planning Round</w:t>
            </w:r>
          </w:p>
        </w:tc>
        <w:tc>
          <w:tcPr>
            <w:tcW w:w="4252" w:type="dxa"/>
            <w:shd w:val="clear" w:color="auto" w:fill="FFFFFF" w:themeFill="background1"/>
            <w:vAlign w:val="center"/>
          </w:tcPr>
          <w:p w14:paraId="2CA579D4"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Departments create their strategic plan and build an action log, reviewed prior to and during annual planning meetings</w:t>
            </w:r>
          </w:p>
        </w:tc>
      </w:tr>
      <w:tr w:rsidR="001B0DC5" w:rsidRPr="001B0DC5" w14:paraId="4AA7C686" w14:textId="77777777" w:rsidTr="2BB461CC">
        <w:trPr>
          <w:cnfStyle w:val="000000100000" w:firstRow="0" w:lastRow="0" w:firstColumn="0" w:lastColumn="0" w:oddVBand="0" w:evenVBand="0" w:oddHBand="1" w:evenHBand="0" w:firstRowFirstColumn="0" w:firstRowLastColumn="0" w:lastRowFirstColumn="0" w:lastRowLastColumn="0"/>
          <w:trHeight w:val="1722"/>
          <w:jc w:val="center"/>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FFFFFF" w:themeFill="background1"/>
            <w:vAlign w:val="center"/>
          </w:tcPr>
          <w:p w14:paraId="14975E18"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Specific ad-hoc requests</w:t>
            </w:r>
          </w:p>
        </w:tc>
        <w:tc>
          <w:tcPr>
            <w:tcW w:w="8075" w:type="dxa"/>
            <w:shd w:val="clear" w:color="auto" w:fill="FFFFFF" w:themeFill="background1"/>
            <w:vAlign w:val="center"/>
          </w:tcPr>
          <w:p w14:paraId="0E0174AC"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Contacts from: Southend, Library, ITS, Apprenticeships (currently planned).</w:t>
            </w:r>
          </w:p>
        </w:tc>
        <w:tc>
          <w:tcPr>
            <w:tcW w:w="4252" w:type="dxa"/>
            <w:shd w:val="clear" w:color="auto" w:fill="FFFFFF" w:themeFill="background1"/>
            <w:vAlign w:val="center"/>
          </w:tcPr>
          <w:p w14:paraId="68E59591"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Some professional departments have a regular request for data when it is released so they are able to analyse the survey feedback relevant to them. Ad-hoc requests for NSS data are received throughout the year by PDI</w:t>
            </w:r>
          </w:p>
        </w:tc>
      </w:tr>
    </w:tbl>
    <w:p w14:paraId="59F9618B" w14:textId="7F2B9691" w:rsidR="001B0DC5" w:rsidRDefault="001B0DC5" w:rsidP="000A2F52">
      <w:pPr>
        <w:spacing w:before="120" w:after="120" w:line="240" w:lineRule="auto"/>
        <w:rPr>
          <w:rFonts w:ascii="Arial" w:hAnsi="Arial" w:cs="Arial"/>
          <w:b/>
          <w:bCs/>
          <w:color w:val="0D0D0D" w:themeColor="text1" w:themeTint="F2"/>
          <w:sz w:val="28"/>
          <w:szCs w:val="28"/>
        </w:rPr>
      </w:pPr>
      <w:r w:rsidRPr="001B0DC5">
        <w:rPr>
          <w:rFonts w:ascii="Arial" w:hAnsi="Arial" w:cs="Arial"/>
          <w:b/>
          <w:bCs/>
          <w:color w:val="0D0D0D" w:themeColor="text1" w:themeTint="F2"/>
          <w:sz w:val="28"/>
          <w:szCs w:val="28"/>
        </w:rPr>
        <w:lastRenderedPageBreak/>
        <w:t>UK Engagement Survey (UKES)</w:t>
      </w:r>
    </w:p>
    <w:tbl>
      <w:tblPr>
        <w:tblStyle w:val="GridTable5Dark-Accent1"/>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75"/>
        <w:gridCol w:w="4252"/>
      </w:tblGrid>
      <w:tr w:rsidR="001B0DC5" w:rsidRPr="001B0DC5" w14:paraId="73D52A3C" w14:textId="77777777" w:rsidTr="001B0D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AF0F3" w:themeFill="accent5" w:themeFillTint="33"/>
          </w:tcPr>
          <w:p w14:paraId="5BD116FE" w14:textId="77777777" w:rsidR="001B0DC5" w:rsidRPr="001B0DC5" w:rsidRDefault="001B0DC5" w:rsidP="0008326F">
            <w:pPr>
              <w:spacing w:before="120" w:after="12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Method of reporting:</w:t>
            </w:r>
          </w:p>
        </w:tc>
        <w:tc>
          <w:tcPr>
            <w:tcW w:w="8075" w:type="dxa"/>
            <w:tcBorders>
              <w:top w:val="none" w:sz="0" w:space="0" w:color="auto"/>
              <w:left w:val="none" w:sz="0" w:space="0" w:color="auto"/>
              <w:right w:val="none" w:sz="0" w:space="0" w:color="auto"/>
            </w:tcBorders>
            <w:shd w:val="clear" w:color="auto" w:fill="DAF0F3" w:themeFill="accent5" w:themeFillTint="33"/>
          </w:tcPr>
          <w:p w14:paraId="7F6BEB2E" w14:textId="77777777" w:rsidR="001B0DC5" w:rsidRPr="001B0DC5" w:rsidRDefault="001B0DC5"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Recipient:</w:t>
            </w:r>
          </w:p>
        </w:tc>
        <w:tc>
          <w:tcPr>
            <w:tcW w:w="4252" w:type="dxa"/>
            <w:tcBorders>
              <w:top w:val="none" w:sz="0" w:space="0" w:color="auto"/>
              <w:left w:val="none" w:sz="0" w:space="0" w:color="auto"/>
              <w:right w:val="none" w:sz="0" w:space="0" w:color="auto"/>
            </w:tcBorders>
            <w:shd w:val="clear" w:color="auto" w:fill="DAF0F3" w:themeFill="accent5" w:themeFillTint="33"/>
          </w:tcPr>
          <w:p w14:paraId="6A2A4CE7" w14:textId="77777777" w:rsidR="001B0DC5" w:rsidRPr="001B0DC5" w:rsidRDefault="001B0DC5"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Expected onward use:</w:t>
            </w:r>
          </w:p>
        </w:tc>
      </w:tr>
      <w:tr w:rsidR="001B0DC5" w:rsidRPr="001B0DC5" w14:paraId="257AC03E" w14:textId="77777777" w:rsidTr="001B0DC5">
        <w:tblPrEx>
          <w:jc w:val="left"/>
        </w:tblPrEx>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tcPr>
          <w:p w14:paraId="4F876B5A"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Day of Release</w:t>
            </w:r>
          </w:p>
        </w:tc>
        <w:tc>
          <w:tcPr>
            <w:tcW w:w="8075" w:type="dxa"/>
            <w:shd w:val="clear" w:color="auto" w:fill="FFFFFF" w:themeFill="background1"/>
          </w:tcPr>
          <w:p w14:paraId="192E3B28"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D0D0D" w:themeColor="text1" w:themeTint="F2"/>
                <w:sz w:val="24"/>
                <w:szCs w:val="24"/>
              </w:rPr>
            </w:pPr>
            <w:r w:rsidRPr="001B0DC5">
              <w:rPr>
                <w:rFonts w:ascii="Arial" w:hAnsi="Arial" w:cs="Arial"/>
                <w:bCs/>
                <w:color w:val="0D0D0D" w:themeColor="text1" w:themeTint="F2"/>
                <w:sz w:val="24"/>
                <w:szCs w:val="24"/>
              </w:rPr>
              <w:t>Data Digest Distribution group</w:t>
            </w:r>
          </w:p>
        </w:tc>
        <w:tc>
          <w:tcPr>
            <w:tcW w:w="4252" w:type="dxa"/>
            <w:shd w:val="clear" w:color="auto" w:fill="FFFFFF" w:themeFill="background1"/>
          </w:tcPr>
          <w:p w14:paraId="1DA030BF"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Shared as part of the Data Digest - should be used to identify any concerns or possible actions to take to improve student experience</w:t>
            </w:r>
          </w:p>
        </w:tc>
      </w:tr>
      <w:tr w:rsidR="001B0DC5" w:rsidRPr="001B0DC5" w14:paraId="381C9DF3" w14:textId="77777777" w:rsidTr="001B0DC5">
        <w:tblPrEx>
          <w:jc w:val="left"/>
        </w:tblPrEx>
        <w:trPr>
          <w:trHeight w:val="23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tcPr>
          <w:p w14:paraId="712DCE7B"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Comments shared - department comment sheets for PIP</w:t>
            </w:r>
          </w:p>
        </w:tc>
        <w:tc>
          <w:tcPr>
            <w:tcW w:w="8075" w:type="dxa"/>
            <w:shd w:val="clear" w:color="auto" w:fill="FFFFFF" w:themeFill="background1"/>
          </w:tcPr>
          <w:p w14:paraId="05573B39"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Those who have access or admin rights to the Planning Information Portal on SharePoint - academic departments only see their own comments</w:t>
            </w:r>
          </w:p>
        </w:tc>
        <w:tc>
          <w:tcPr>
            <w:tcW w:w="4252" w:type="dxa"/>
            <w:shd w:val="clear" w:color="auto" w:fill="FFFFFF" w:themeFill="background1"/>
          </w:tcPr>
          <w:p w14:paraId="7E87BAF7" w14:textId="77777777" w:rsidR="001B0DC5" w:rsidRPr="001B0DC5" w:rsidRDefault="001B0DC5"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Shared on PIP SharePoint site for academic departments (who only see their own). Should be used to identify any concerns or possible actions to take to improve student experience.</w:t>
            </w:r>
          </w:p>
        </w:tc>
      </w:tr>
      <w:tr w:rsidR="001B0DC5" w:rsidRPr="001B0DC5" w14:paraId="593084B5" w14:textId="77777777" w:rsidTr="001B0DC5">
        <w:tblPrEx>
          <w:jc w:val="left"/>
        </w:tblPrEx>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FFFFFF" w:themeFill="background1"/>
          </w:tcPr>
          <w:p w14:paraId="3CE455CF" w14:textId="77777777" w:rsidR="001B0DC5" w:rsidRPr="001B0DC5" w:rsidRDefault="001B0DC5"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Lead indicator</w:t>
            </w:r>
          </w:p>
        </w:tc>
        <w:tc>
          <w:tcPr>
            <w:tcW w:w="8075" w:type="dxa"/>
            <w:shd w:val="clear" w:color="auto" w:fill="FFFFFF" w:themeFill="background1"/>
          </w:tcPr>
          <w:p w14:paraId="1EBCBA92"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D0D0D" w:themeColor="text1" w:themeTint="F2"/>
                <w:sz w:val="24"/>
                <w:szCs w:val="24"/>
              </w:rPr>
            </w:pPr>
            <w:r w:rsidRPr="001B0DC5">
              <w:rPr>
                <w:rFonts w:ascii="Arial" w:hAnsi="Arial" w:cs="Arial"/>
                <w:bCs/>
                <w:color w:val="0D0D0D" w:themeColor="text1" w:themeTint="F2"/>
                <w:sz w:val="24"/>
                <w:szCs w:val="24"/>
              </w:rPr>
              <w:t>Education Data Insight Advisory Group (E-DIAG) members</w:t>
            </w:r>
          </w:p>
        </w:tc>
        <w:tc>
          <w:tcPr>
            <w:tcW w:w="4252" w:type="dxa"/>
            <w:shd w:val="clear" w:color="auto" w:fill="FFFFFF" w:themeFill="background1"/>
          </w:tcPr>
          <w:p w14:paraId="494E3ABF" w14:textId="77777777" w:rsidR="001B0DC5" w:rsidRPr="001B0DC5" w:rsidRDefault="001B0DC5"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E-DIAG members discuss the lead indicator prepared from this data to identify any areas of concern prior to the NSS release (although survey itself is closed by this point)</w:t>
            </w:r>
          </w:p>
        </w:tc>
      </w:tr>
    </w:tbl>
    <w:p w14:paraId="3F1DE617" w14:textId="32E467C8" w:rsidR="001B0DC5" w:rsidRDefault="001B0DC5" w:rsidP="00414A8E">
      <w:pPr>
        <w:spacing w:after="0" w:line="240" w:lineRule="auto"/>
        <w:rPr>
          <w:rFonts w:ascii="Arial" w:hAnsi="Arial" w:cs="Arial"/>
          <w:b/>
          <w:bCs/>
          <w:sz w:val="28"/>
          <w:szCs w:val="28"/>
        </w:rPr>
      </w:pPr>
    </w:p>
    <w:p w14:paraId="79FFB953" w14:textId="7BC042FC" w:rsidR="00C753B0" w:rsidRDefault="00C753B0" w:rsidP="000A2F52">
      <w:pPr>
        <w:spacing w:before="120" w:after="120" w:line="240" w:lineRule="auto"/>
        <w:rPr>
          <w:rFonts w:ascii="Arial" w:hAnsi="Arial" w:cs="Arial"/>
          <w:b/>
          <w:bCs/>
          <w:color w:val="0D0D0D" w:themeColor="text1" w:themeTint="F2"/>
          <w:sz w:val="28"/>
          <w:szCs w:val="28"/>
        </w:rPr>
      </w:pPr>
      <w:r w:rsidRPr="00C753B0">
        <w:rPr>
          <w:rFonts w:ascii="Arial" w:hAnsi="Arial" w:cs="Arial"/>
          <w:b/>
          <w:bCs/>
          <w:color w:val="0D0D0D" w:themeColor="text1" w:themeTint="F2"/>
          <w:sz w:val="28"/>
          <w:szCs w:val="28"/>
        </w:rPr>
        <w:t>Postgraduate Taught Experience Survey (PTES)</w:t>
      </w:r>
    </w:p>
    <w:tbl>
      <w:tblPr>
        <w:tblStyle w:val="GridTable5Dark-Accent1"/>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75"/>
        <w:gridCol w:w="4252"/>
      </w:tblGrid>
      <w:tr w:rsidR="00C753B0" w:rsidRPr="001B0DC5" w14:paraId="22B4FEFB" w14:textId="77777777" w:rsidTr="00C753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AF0F3" w:themeFill="accent5" w:themeFillTint="33"/>
          </w:tcPr>
          <w:p w14:paraId="2F88D064" w14:textId="77777777" w:rsidR="00C753B0" w:rsidRPr="001B0DC5" w:rsidRDefault="00C753B0" w:rsidP="0008326F">
            <w:pPr>
              <w:spacing w:before="120" w:after="12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Method of reporting:</w:t>
            </w:r>
          </w:p>
        </w:tc>
        <w:tc>
          <w:tcPr>
            <w:tcW w:w="8075" w:type="dxa"/>
            <w:tcBorders>
              <w:top w:val="none" w:sz="0" w:space="0" w:color="auto"/>
              <w:left w:val="none" w:sz="0" w:space="0" w:color="auto"/>
              <w:right w:val="none" w:sz="0" w:space="0" w:color="auto"/>
            </w:tcBorders>
            <w:shd w:val="clear" w:color="auto" w:fill="DAF0F3" w:themeFill="accent5" w:themeFillTint="33"/>
          </w:tcPr>
          <w:p w14:paraId="2EAF669E" w14:textId="77777777" w:rsidR="00C753B0" w:rsidRPr="001B0DC5" w:rsidRDefault="00C753B0"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Recipient:</w:t>
            </w:r>
          </w:p>
        </w:tc>
        <w:tc>
          <w:tcPr>
            <w:tcW w:w="4252" w:type="dxa"/>
            <w:tcBorders>
              <w:top w:val="none" w:sz="0" w:space="0" w:color="auto"/>
              <w:left w:val="none" w:sz="0" w:space="0" w:color="auto"/>
              <w:right w:val="none" w:sz="0" w:space="0" w:color="auto"/>
            </w:tcBorders>
            <w:shd w:val="clear" w:color="auto" w:fill="DAF0F3" w:themeFill="accent5" w:themeFillTint="33"/>
          </w:tcPr>
          <w:p w14:paraId="1A009085" w14:textId="77777777" w:rsidR="00C753B0" w:rsidRPr="001B0DC5" w:rsidRDefault="00C753B0"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Expected onward use:</w:t>
            </w:r>
          </w:p>
        </w:tc>
      </w:tr>
      <w:tr w:rsidR="00C753B0" w:rsidRPr="001B0DC5" w14:paraId="3B94FAA0" w14:textId="77777777" w:rsidTr="00C753B0">
        <w:tblPrEx>
          <w:jc w:val="left"/>
        </w:tblPrEx>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tcPr>
          <w:p w14:paraId="0960668C" w14:textId="77777777" w:rsidR="00C753B0" w:rsidRPr="001B0DC5" w:rsidRDefault="00C753B0"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Day of Release</w:t>
            </w:r>
          </w:p>
        </w:tc>
        <w:tc>
          <w:tcPr>
            <w:tcW w:w="8075" w:type="dxa"/>
            <w:shd w:val="clear" w:color="auto" w:fill="FFFFFF" w:themeFill="background1"/>
          </w:tcPr>
          <w:p w14:paraId="524ACF5E"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Data Digest Distribution group</w:t>
            </w:r>
          </w:p>
        </w:tc>
        <w:tc>
          <w:tcPr>
            <w:tcW w:w="4252" w:type="dxa"/>
            <w:shd w:val="clear" w:color="auto" w:fill="FFFFFF" w:themeFill="background1"/>
          </w:tcPr>
          <w:p w14:paraId="1B022011"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Shared as part of the Data Digest - should be used to identify any concerns or possible actions to take to improve student experience</w:t>
            </w:r>
          </w:p>
        </w:tc>
      </w:tr>
      <w:tr w:rsidR="00C753B0" w:rsidRPr="001B0DC5" w14:paraId="6D69F3E0" w14:textId="77777777" w:rsidTr="00C753B0">
        <w:tblPrEx>
          <w:jc w:val="left"/>
        </w:tblPrEx>
        <w:trPr>
          <w:trHeight w:val="46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FFFFFF" w:themeFill="background1"/>
          </w:tcPr>
          <w:p w14:paraId="5D5FACC8" w14:textId="77777777" w:rsidR="00C753B0" w:rsidRPr="001B0DC5" w:rsidRDefault="00C753B0"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lastRenderedPageBreak/>
              <w:t>Comments shared - Department comment sheets for PIP</w:t>
            </w:r>
          </w:p>
        </w:tc>
        <w:tc>
          <w:tcPr>
            <w:tcW w:w="8075" w:type="dxa"/>
            <w:shd w:val="clear" w:color="auto" w:fill="FFFFFF" w:themeFill="background1"/>
          </w:tcPr>
          <w:p w14:paraId="3A745AA2" w14:textId="77777777" w:rsidR="00C753B0" w:rsidRPr="001B0DC5" w:rsidRDefault="00C753B0"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Those who have access or admin rights to the Planning Information Portal on SharePoint - academic departments only see their own comments</w:t>
            </w:r>
          </w:p>
        </w:tc>
        <w:tc>
          <w:tcPr>
            <w:tcW w:w="4252" w:type="dxa"/>
            <w:shd w:val="clear" w:color="auto" w:fill="FFFFFF" w:themeFill="background1"/>
          </w:tcPr>
          <w:p w14:paraId="1CC5DADC" w14:textId="77777777" w:rsidR="00C753B0" w:rsidRPr="001B0DC5" w:rsidRDefault="00C753B0"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Shared on PIP SharePoint site for academic departments (who only see their own) - should be used to identify any concerns or possible actions to take to improve student experience.</w:t>
            </w:r>
          </w:p>
        </w:tc>
      </w:tr>
    </w:tbl>
    <w:p w14:paraId="533EE94B" w14:textId="4E05C74F" w:rsidR="00C753B0" w:rsidRDefault="00C753B0" w:rsidP="00414A8E">
      <w:pPr>
        <w:spacing w:after="0" w:line="240" w:lineRule="auto"/>
        <w:rPr>
          <w:rFonts w:ascii="Arial" w:hAnsi="Arial" w:cs="Arial"/>
          <w:b/>
          <w:bCs/>
          <w:sz w:val="28"/>
          <w:szCs w:val="28"/>
        </w:rPr>
      </w:pPr>
    </w:p>
    <w:p w14:paraId="1C9F4F74" w14:textId="643D3D38" w:rsidR="00C753B0" w:rsidRPr="000A2F52" w:rsidRDefault="00C753B0" w:rsidP="000A2F52">
      <w:pPr>
        <w:spacing w:before="120" w:after="120" w:line="240" w:lineRule="auto"/>
        <w:rPr>
          <w:rFonts w:ascii="Arial" w:hAnsi="Arial" w:cs="Arial"/>
          <w:b/>
          <w:bCs/>
          <w:color w:val="0D0D0D" w:themeColor="text1" w:themeTint="F2"/>
          <w:sz w:val="32"/>
          <w:szCs w:val="32"/>
          <w:u w:val="single"/>
        </w:rPr>
      </w:pPr>
      <w:r w:rsidRPr="000A2F52">
        <w:rPr>
          <w:rFonts w:ascii="Arial" w:hAnsi="Arial" w:cs="Arial"/>
          <w:b/>
          <w:bCs/>
          <w:color w:val="0D0D0D" w:themeColor="text1" w:themeTint="F2"/>
          <w:sz w:val="32"/>
          <w:szCs w:val="32"/>
          <w:u w:val="single"/>
        </w:rPr>
        <w:t>Internal Surveys</w:t>
      </w:r>
    </w:p>
    <w:p w14:paraId="7BC6CB76" w14:textId="53E5E688" w:rsidR="00C753B0" w:rsidRPr="000A2F52" w:rsidRDefault="00C753B0" w:rsidP="000A2F52">
      <w:pPr>
        <w:spacing w:before="120" w:after="120" w:line="240" w:lineRule="auto"/>
        <w:rPr>
          <w:rFonts w:ascii="Arial" w:hAnsi="Arial" w:cs="Arial"/>
          <w:b/>
          <w:bCs/>
          <w:color w:val="0D0D0D" w:themeColor="text1" w:themeTint="F2"/>
          <w:sz w:val="28"/>
          <w:szCs w:val="28"/>
        </w:rPr>
      </w:pPr>
      <w:r w:rsidRPr="00C753B0">
        <w:rPr>
          <w:rFonts w:ascii="Arial" w:hAnsi="Arial" w:cs="Arial"/>
          <w:b/>
          <w:bCs/>
          <w:color w:val="0D0D0D" w:themeColor="text1" w:themeTint="F2"/>
          <w:sz w:val="28"/>
          <w:szCs w:val="28"/>
        </w:rPr>
        <w:t>Student Module Feedback Survey (formerly SAMT)</w:t>
      </w:r>
    </w:p>
    <w:tbl>
      <w:tblPr>
        <w:tblStyle w:val="GridTable5Dark-Accent1"/>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75"/>
        <w:gridCol w:w="4252"/>
      </w:tblGrid>
      <w:tr w:rsidR="00C753B0" w:rsidRPr="001B0DC5" w14:paraId="704A65EC" w14:textId="77777777" w:rsidTr="00C753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AF0F3" w:themeFill="accent5" w:themeFillTint="33"/>
          </w:tcPr>
          <w:p w14:paraId="35ED1BF6" w14:textId="77777777" w:rsidR="00C753B0" w:rsidRPr="001B0DC5" w:rsidRDefault="00C753B0" w:rsidP="0008326F">
            <w:pPr>
              <w:spacing w:before="120" w:after="12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Method of reporting:</w:t>
            </w:r>
          </w:p>
        </w:tc>
        <w:tc>
          <w:tcPr>
            <w:tcW w:w="8075" w:type="dxa"/>
            <w:tcBorders>
              <w:top w:val="none" w:sz="0" w:space="0" w:color="auto"/>
              <w:left w:val="none" w:sz="0" w:space="0" w:color="auto"/>
              <w:right w:val="none" w:sz="0" w:space="0" w:color="auto"/>
            </w:tcBorders>
            <w:shd w:val="clear" w:color="auto" w:fill="DAF0F3" w:themeFill="accent5" w:themeFillTint="33"/>
          </w:tcPr>
          <w:p w14:paraId="645685E8" w14:textId="77777777" w:rsidR="00C753B0" w:rsidRPr="001B0DC5" w:rsidRDefault="00C753B0"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Recipient:</w:t>
            </w:r>
          </w:p>
        </w:tc>
        <w:tc>
          <w:tcPr>
            <w:tcW w:w="4252" w:type="dxa"/>
            <w:tcBorders>
              <w:top w:val="none" w:sz="0" w:space="0" w:color="auto"/>
              <w:left w:val="none" w:sz="0" w:space="0" w:color="auto"/>
              <w:right w:val="none" w:sz="0" w:space="0" w:color="auto"/>
            </w:tcBorders>
            <w:shd w:val="clear" w:color="auto" w:fill="DAF0F3" w:themeFill="accent5" w:themeFillTint="33"/>
          </w:tcPr>
          <w:p w14:paraId="665BF171" w14:textId="77777777" w:rsidR="00C753B0" w:rsidRPr="001B0DC5" w:rsidRDefault="00C753B0"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Expected onward use:</w:t>
            </w:r>
          </w:p>
        </w:tc>
      </w:tr>
      <w:tr w:rsidR="00C753B0" w:rsidRPr="001B0DC5" w14:paraId="01A13EA7" w14:textId="77777777" w:rsidTr="00C753B0">
        <w:tblPrEx>
          <w:jc w:val="left"/>
        </w:tblPrEx>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tcPr>
          <w:p w14:paraId="675E5829" w14:textId="77777777" w:rsidR="00C753B0" w:rsidRPr="001B0DC5" w:rsidRDefault="00C753B0"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Summarised data supplied to Autumn/Spring Committees via Annual Review of Courses reports</w:t>
            </w:r>
          </w:p>
        </w:tc>
        <w:tc>
          <w:tcPr>
            <w:tcW w:w="8075" w:type="dxa"/>
            <w:shd w:val="clear" w:color="auto" w:fill="FFFFFF" w:themeFill="background1"/>
          </w:tcPr>
          <w:p w14:paraId="29690712"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Faculty Education Committees (FECs)</w:t>
            </w:r>
          </w:p>
        </w:tc>
        <w:tc>
          <w:tcPr>
            <w:tcW w:w="4252" w:type="dxa"/>
            <w:shd w:val="clear" w:color="auto" w:fill="FFFFFF" w:themeFill="background1"/>
          </w:tcPr>
          <w:p w14:paraId="3D40FFC7"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FEC recommendations to Academic Quality and Standards Committee / Education Committee, where applicable</w:t>
            </w:r>
          </w:p>
        </w:tc>
      </w:tr>
      <w:tr w:rsidR="00C753B0" w:rsidRPr="001B0DC5" w14:paraId="509CBE6D" w14:textId="77777777" w:rsidTr="00C753B0">
        <w:tblPrEx>
          <w:jc w:val="left"/>
        </w:tblPrEx>
        <w:trPr>
          <w:trHeight w:val="31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FFFFFF" w:themeFill="background1"/>
          </w:tcPr>
          <w:p w14:paraId="21ED397A" w14:textId="77777777" w:rsidR="00C753B0" w:rsidRPr="001B0DC5" w:rsidRDefault="00C753B0"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Lead Indicator</w:t>
            </w:r>
          </w:p>
        </w:tc>
        <w:tc>
          <w:tcPr>
            <w:tcW w:w="8075" w:type="dxa"/>
            <w:shd w:val="clear" w:color="auto" w:fill="FFFFFF" w:themeFill="background1"/>
          </w:tcPr>
          <w:p w14:paraId="24C2C8A0" w14:textId="77777777" w:rsidR="00C753B0" w:rsidRPr="001B0DC5" w:rsidRDefault="00C753B0"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E-DIAG members</w:t>
            </w:r>
          </w:p>
        </w:tc>
        <w:tc>
          <w:tcPr>
            <w:tcW w:w="4252" w:type="dxa"/>
            <w:shd w:val="clear" w:color="auto" w:fill="FFFFFF" w:themeFill="background1"/>
          </w:tcPr>
          <w:p w14:paraId="5F977628" w14:textId="77777777" w:rsidR="00C753B0" w:rsidRPr="001B0DC5" w:rsidRDefault="00C753B0" w:rsidP="0008326F">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E-DIAG members discuss the lead indicator prepared from this data to identify any areas of concern prior to the NSS release</w:t>
            </w:r>
          </w:p>
        </w:tc>
      </w:tr>
      <w:tr w:rsidR="00C753B0" w:rsidRPr="001B0DC5" w14:paraId="6B360386" w14:textId="77777777" w:rsidTr="00C753B0">
        <w:tblPrEx>
          <w:jc w:val="left"/>
        </w:tblPrEx>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FFFFFF" w:themeFill="background1"/>
          </w:tcPr>
          <w:p w14:paraId="28422E52" w14:textId="77777777" w:rsidR="00C753B0" w:rsidRPr="001B0DC5" w:rsidRDefault="00C753B0"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Dashboard</w:t>
            </w:r>
          </w:p>
        </w:tc>
        <w:tc>
          <w:tcPr>
            <w:tcW w:w="8075" w:type="dxa"/>
            <w:shd w:val="clear" w:color="auto" w:fill="FFFFFF" w:themeFill="background1"/>
          </w:tcPr>
          <w:p w14:paraId="0DF7C7A6"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Under development</w:t>
            </w:r>
          </w:p>
        </w:tc>
        <w:tc>
          <w:tcPr>
            <w:tcW w:w="4252" w:type="dxa"/>
            <w:shd w:val="clear" w:color="auto" w:fill="FFFFFF" w:themeFill="background1"/>
          </w:tcPr>
          <w:p w14:paraId="75B2E632"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TBC</w:t>
            </w:r>
          </w:p>
        </w:tc>
      </w:tr>
    </w:tbl>
    <w:p w14:paraId="6826DCAF" w14:textId="2B299E9B" w:rsidR="00C753B0" w:rsidRDefault="00C753B0" w:rsidP="00414A8E">
      <w:pPr>
        <w:spacing w:after="0" w:line="240" w:lineRule="auto"/>
        <w:rPr>
          <w:rFonts w:ascii="Arial" w:hAnsi="Arial" w:cs="Arial"/>
          <w:b/>
          <w:bCs/>
          <w:sz w:val="28"/>
          <w:szCs w:val="28"/>
        </w:rPr>
      </w:pPr>
    </w:p>
    <w:p w14:paraId="76B6646A" w14:textId="4E373AFB" w:rsidR="00C753B0" w:rsidRDefault="00C753B0" w:rsidP="00414A8E">
      <w:pPr>
        <w:spacing w:after="0" w:line="240" w:lineRule="auto"/>
        <w:rPr>
          <w:rFonts w:ascii="Arial" w:hAnsi="Arial" w:cs="Arial"/>
          <w:b/>
          <w:bCs/>
          <w:sz w:val="28"/>
          <w:szCs w:val="28"/>
        </w:rPr>
      </w:pPr>
    </w:p>
    <w:p w14:paraId="37DE8E6B" w14:textId="700A738A" w:rsidR="00C753B0" w:rsidRDefault="00C753B0" w:rsidP="00414A8E">
      <w:pPr>
        <w:spacing w:after="0" w:line="240" w:lineRule="auto"/>
        <w:rPr>
          <w:rFonts w:ascii="Arial" w:hAnsi="Arial" w:cs="Arial"/>
          <w:b/>
          <w:bCs/>
          <w:sz w:val="28"/>
          <w:szCs w:val="28"/>
        </w:rPr>
      </w:pPr>
    </w:p>
    <w:p w14:paraId="5BFF58B6" w14:textId="6DFB2764" w:rsidR="00C753B0" w:rsidRDefault="00C753B0" w:rsidP="00414A8E">
      <w:pPr>
        <w:spacing w:after="0" w:line="240" w:lineRule="auto"/>
        <w:rPr>
          <w:rFonts w:ascii="Arial" w:hAnsi="Arial" w:cs="Arial"/>
          <w:b/>
          <w:bCs/>
          <w:sz w:val="28"/>
          <w:szCs w:val="28"/>
        </w:rPr>
      </w:pPr>
    </w:p>
    <w:p w14:paraId="57230909" w14:textId="761E72B6" w:rsidR="00C753B0" w:rsidRDefault="00C753B0" w:rsidP="00414A8E">
      <w:pPr>
        <w:spacing w:after="0" w:line="240" w:lineRule="auto"/>
        <w:rPr>
          <w:rFonts w:ascii="Arial" w:hAnsi="Arial" w:cs="Arial"/>
          <w:b/>
          <w:bCs/>
          <w:sz w:val="28"/>
          <w:szCs w:val="28"/>
        </w:rPr>
      </w:pPr>
    </w:p>
    <w:p w14:paraId="0923A529" w14:textId="77777777" w:rsidR="00C753B0" w:rsidRDefault="00C753B0" w:rsidP="00414A8E">
      <w:pPr>
        <w:spacing w:after="0" w:line="240" w:lineRule="auto"/>
        <w:rPr>
          <w:rFonts w:ascii="Arial" w:hAnsi="Arial" w:cs="Arial"/>
          <w:b/>
          <w:bCs/>
          <w:sz w:val="28"/>
          <w:szCs w:val="28"/>
        </w:rPr>
      </w:pPr>
    </w:p>
    <w:p w14:paraId="2D907FCF" w14:textId="576FF2F8" w:rsidR="00C753B0" w:rsidRDefault="00C753B0" w:rsidP="000A2F52">
      <w:pPr>
        <w:spacing w:before="120" w:after="120" w:line="240" w:lineRule="auto"/>
        <w:rPr>
          <w:rFonts w:ascii="Arial" w:hAnsi="Arial" w:cs="Arial"/>
          <w:b/>
          <w:bCs/>
          <w:sz w:val="28"/>
          <w:szCs w:val="28"/>
        </w:rPr>
      </w:pPr>
      <w:r>
        <w:rPr>
          <w:rFonts w:ascii="Arial" w:hAnsi="Arial" w:cs="Arial"/>
          <w:b/>
          <w:bCs/>
          <w:sz w:val="28"/>
          <w:szCs w:val="28"/>
        </w:rPr>
        <w:lastRenderedPageBreak/>
        <w:t>Postgraduate Research Survey</w:t>
      </w:r>
    </w:p>
    <w:tbl>
      <w:tblPr>
        <w:tblStyle w:val="GridTable5Dark-Accent1"/>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75"/>
        <w:gridCol w:w="4252"/>
      </w:tblGrid>
      <w:tr w:rsidR="00C753B0" w:rsidRPr="001B0DC5" w14:paraId="1DD8D9E3" w14:textId="77777777" w:rsidTr="00C753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AF0F3" w:themeFill="accent5" w:themeFillTint="33"/>
          </w:tcPr>
          <w:p w14:paraId="0479B9AF" w14:textId="77777777" w:rsidR="00C753B0" w:rsidRPr="001B0DC5" w:rsidRDefault="00C753B0" w:rsidP="0008326F">
            <w:pPr>
              <w:spacing w:before="120" w:after="12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Method of reporting:</w:t>
            </w:r>
          </w:p>
        </w:tc>
        <w:tc>
          <w:tcPr>
            <w:tcW w:w="8075" w:type="dxa"/>
            <w:tcBorders>
              <w:top w:val="none" w:sz="0" w:space="0" w:color="auto"/>
              <w:left w:val="none" w:sz="0" w:space="0" w:color="auto"/>
              <w:right w:val="none" w:sz="0" w:space="0" w:color="auto"/>
            </w:tcBorders>
            <w:shd w:val="clear" w:color="auto" w:fill="DAF0F3" w:themeFill="accent5" w:themeFillTint="33"/>
          </w:tcPr>
          <w:p w14:paraId="4CD53143" w14:textId="77777777" w:rsidR="00C753B0" w:rsidRPr="001B0DC5" w:rsidRDefault="00C753B0"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Recipient:</w:t>
            </w:r>
          </w:p>
        </w:tc>
        <w:tc>
          <w:tcPr>
            <w:tcW w:w="4252" w:type="dxa"/>
            <w:tcBorders>
              <w:top w:val="none" w:sz="0" w:space="0" w:color="auto"/>
              <w:left w:val="none" w:sz="0" w:space="0" w:color="auto"/>
              <w:right w:val="none" w:sz="0" w:space="0" w:color="auto"/>
            </w:tcBorders>
            <w:shd w:val="clear" w:color="auto" w:fill="DAF0F3" w:themeFill="accent5" w:themeFillTint="33"/>
          </w:tcPr>
          <w:p w14:paraId="29CFA425" w14:textId="77777777" w:rsidR="00C753B0" w:rsidRPr="001B0DC5" w:rsidRDefault="00C753B0" w:rsidP="0008326F">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Expected onward use:</w:t>
            </w:r>
          </w:p>
        </w:tc>
      </w:tr>
      <w:tr w:rsidR="00C753B0" w:rsidRPr="001B0DC5" w14:paraId="100453BF" w14:textId="77777777" w:rsidTr="00C753B0">
        <w:tblPrEx>
          <w:jc w:val="left"/>
        </w:tblPrEx>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FFFFFF" w:themeFill="background1"/>
          </w:tcPr>
          <w:p w14:paraId="55454FBF" w14:textId="77777777" w:rsidR="00C753B0" w:rsidRPr="001B0DC5" w:rsidRDefault="00C753B0" w:rsidP="0008326F">
            <w:pPr>
              <w:spacing w:before="240" w:after="240"/>
              <w:jc w:val="center"/>
              <w:rPr>
                <w:rFonts w:ascii="Arial" w:hAnsi="Arial" w:cs="Arial"/>
                <w:color w:val="0D0D0D" w:themeColor="text1" w:themeTint="F2"/>
                <w:sz w:val="24"/>
                <w:szCs w:val="24"/>
              </w:rPr>
            </w:pPr>
            <w:r w:rsidRPr="001B0DC5">
              <w:rPr>
                <w:rFonts w:ascii="Arial" w:hAnsi="Arial" w:cs="Arial"/>
                <w:color w:val="0D0D0D" w:themeColor="text1" w:themeTint="F2"/>
                <w:sz w:val="24"/>
                <w:szCs w:val="24"/>
              </w:rPr>
              <w:t>Dashboard</w:t>
            </w:r>
          </w:p>
        </w:tc>
        <w:tc>
          <w:tcPr>
            <w:tcW w:w="8075" w:type="dxa"/>
            <w:shd w:val="clear" w:color="auto" w:fill="FFFFFF" w:themeFill="background1"/>
          </w:tcPr>
          <w:p w14:paraId="5F1130CB"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Under development</w:t>
            </w:r>
          </w:p>
        </w:tc>
        <w:tc>
          <w:tcPr>
            <w:tcW w:w="4252" w:type="dxa"/>
            <w:shd w:val="clear" w:color="auto" w:fill="FFFFFF" w:themeFill="background1"/>
          </w:tcPr>
          <w:p w14:paraId="3189D6DB" w14:textId="77777777" w:rsidR="00C753B0" w:rsidRPr="001B0DC5" w:rsidRDefault="00C753B0" w:rsidP="0008326F">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4"/>
                <w:szCs w:val="24"/>
              </w:rPr>
            </w:pPr>
            <w:r w:rsidRPr="001B0DC5">
              <w:rPr>
                <w:rFonts w:ascii="Arial" w:hAnsi="Arial" w:cs="Arial"/>
                <w:color w:val="0D0D0D" w:themeColor="text1" w:themeTint="F2"/>
                <w:sz w:val="24"/>
                <w:szCs w:val="24"/>
              </w:rPr>
              <w:t>TBC</w:t>
            </w:r>
          </w:p>
        </w:tc>
      </w:tr>
    </w:tbl>
    <w:p w14:paraId="2E837705" w14:textId="77777777" w:rsidR="00C753B0" w:rsidRPr="00C753B0" w:rsidRDefault="00C753B0" w:rsidP="00414A8E">
      <w:pPr>
        <w:spacing w:after="0" w:line="240" w:lineRule="auto"/>
        <w:rPr>
          <w:rFonts w:ascii="Arial" w:hAnsi="Arial" w:cs="Arial"/>
          <w:b/>
          <w:bCs/>
          <w:sz w:val="28"/>
          <w:szCs w:val="28"/>
        </w:rPr>
      </w:pPr>
    </w:p>
    <w:sectPr w:rsidR="00C753B0" w:rsidRPr="00C753B0" w:rsidSect="00A900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30DE"/>
    <w:multiLevelType w:val="hybridMultilevel"/>
    <w:tmpl w:val="FD1CC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A2C31"/>
    <w:multiLevelType w:val="hybridMultilevel"/>
    <w:tmpl w:val="3AAA1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513C5"/>
    <w:multiLevelType w:val="hybridMultilevel"/>
    <w:tmpl w:val="5F025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062BE"/>
    <w:multiLevelType w:val="hybridMultilevel"/>
    <w:tmpl w:val="D09ED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8737A"/>
    <w:multiLevelType w:val="hybridMultilevel"/>
    <w:tmpl w:val="D12C4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51"/>
    <w:rsid w:val="000A2F52"/>
    <w:rsid w:val="001618BC"/>
    <w:rsid w:val="001B0DC5"/>
    <w:rsid w:val="002A3575"/>
    <w:rsid w:val="002A6FC7"/>
    <w:rsid w:val="00314C37"/>
    <w:rsid w:val="00414A8E"/>
    <w:rsid w:val="0047111F"/>
    <w:rsid w:val="004D1844"/>
    <w:rsid w:val="004E44E4"/>
    <w:rsid w:val="00526967"/>
    <w:rsid w:val="005F756D"/>
    <w:rsid w:val="006844BB"/>
    <w:rsid w:val="007012CE"/>
    <w:rsid w:val="007E51C6"/>
    <w:rsid w:val="008A583C"/>
    <w:rsid w:val="008B4E63"/>
    <w:rsid w:val="0095075E"/>
    <w:rsid w:val="00954CB0"/>
    <w:rsid w:val="009D46E7"/>
    <w:rsid w:val="009D53B8"/>
    <w:rsid w:val="00A90051"/>
    <w:rsid w:val="00AA53A7"/>
    <w:rsid w:val="00AE4C95"/>
    <w:rsid w:val="00AE4F51"/>
    <w:rsid w:val="00B61A15"/>
    <w:rsid w:val="00B935D5"/>
    <w:rsid w:val="00BA246F"/>
    <w:rsid w:val="00BB413C"/>
    <w:rsid w:val="00C753B0"/>
    <w:rsid w:val="00D62409"/>
    <w:rsid w:val="00D6483B"/>
    <w:rsid w:val="00DC42AA"/>
    <w:rsid w:val="00DF6F09"/>
    <w:rsid w:val="00E55F13"/>
    <w:rsid w:val="00EC16C6"/>
    <w:rsid w:val="00F83895"/>
    <w:rsid w:val="00F91AC3"/>
    <w:rsid w:val="2BB4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F814"/>
  <w15:chartTrackingRefBased/>
  <w15:docId w15:val="{A7243584-D947-4B1D-BDBE-276F4D5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E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AE4F51"/>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5">
    <w:name w:val="Grid Table 2 Accent 5"/>
    <w:basedOn w:val="TableNormal"/>
    <w:uiPriority w:val="47"/>
    <w:rsid w:val="00AE4F51"/>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1">
    <w:name w:val="Grid Table 4 Accent 1"/>
    <w:basedOn w:val="TableNormal"/>
    <w:uiPriority w:val="49"/>
    <w:rsid w:val="00AE4F51"/>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5Dark-Accent1">
    <w:name w:val="Grid Table 5 Dark Accent 1"/>
    <w:basedOn w:val="TableNormal"/>
    <w:uiPriority w:val="50"/>
    <w:rsid w:val="00AE4F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paragraph" w:styleId="BalloonText">
    <w:name w:val="Balloon Text"/>
    <w:basedOn w:val="Normal"/>
    <w:link w:val="BalloonTextChar"/>
    <w:uiPriority w:val="99"/>
    <w:semiHidden/>
    <w:unhideWhenUsed/>
    <w:rsid w:val="00A9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51"/>
    <w:rPr>
      <w:rFonts w:ascii="Segoe UI" w:hAnsi="Segoe UI" w:cs="Segoe UI"/>
      <w:sz w:val="18"/>
      <w:szCs w:val="18"/>
    </w:rPr>
  </w:style>
  <w:style w:type="paragraph" w:styleId="ListParagraph">
    <w:name w:val="List Paragraph"/>
    <w:basedOn w:val="Normal"/>
    <w:uiPriority w:val="34"/>
    <w:qFormat/>
    <w:rsid w:val="00F83895"/>
    <w:pPr>
      <w:ind w:left="720"/>
      <w:contextualSpacing/>
    </w:pPr>
  </w:style>
  <w:style w:type="character" w:styleId="CommentReference">
    <w:name w:val="annotation reference"/>
    <w:basedOn w:val="DefaultParagraphFont"/>
    <w:uiPriority w:val="99"/>
    <w:semiHidden/>
    <w:unhideWhenUsed/>
    <w:rsid w:val="00DC42AA"/>
    <w:rPr>
      <w:sz w:val="16"/>
      <w:szCs w:val="16"/>
    </w:rPr>
  </w:style>
  <w:style w:type="paragraph" w:styleId="CommentText">
    <w:name w:val="annotation text"/>
    <w:basedOn w:val="Normal"/>
    <w:link w:val="CommentTextChar"/>
    <w:uiPriority w:val="99"/>
    <w:semiHidden/>
    <w:unhideWhenUsed/>
    <w:rsid w:val="00DC42AA"/>
    <w:pPr>
      <w:spacing w:line="240" w:lineRule="auto"/>
    </w:pPr>
    <w:rPr>
      <w:sz w:val="20"/>
      <w:szCs w:val="20"/>
    </w:rPr>
  </w:style>
  <w:style w:type="character" w:customStyle="1" w:styleId="CommentTextChar">
    <w:name w:val="Comment Text Char"/>
    <w:basedOn w:val="DefaultParagraphFont"/>
    <w:link w:val="CommentText"/>
    <w:uiPriority w:val="99"/>
    <w:semiHidden/>
    <w:rsid w:val="00DC42AA"/>
    <w:rPr>
      <w:sz w:val="20"/>
      <w:szCs w:val="20"/>
    </w:rPr>
  </w:style>
  <w:style w:type="paragraph" w:styleId="CommentSubject">
    <w:name w:val="annotation subject"/>
    <w:basedOn w:val="CommentText"/>
    <w:next w:val="CommentText"/>
    <w:link w:val="CommentSubjectChar"/>
    <w:uiPriority w:val="99"/>
    <w:semiHidden/>
    <w:unhideWhenUsed/>
    <w:rsid w:val="00DC42AA"/>
    <w:rPr>
      <w:b/>
      <w:bCs/>
    </w:rPr>
  </w:style>
  <w:style w:type="character" w:customStyle="1" w:styleId="CommentSubjectChar">
    <w:name w:val="Comment Subject Char"/>
    <w:basedOn w:val="CommentTextChar"/>
    <w:link w:val="CommentSubject"/>
    <w:uiPriority w:val="99"/>
    <w:semiHidden/>
    <w:rsid w:val="00DC4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F88B-507B-4A81-914D-050139E4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Luke T W</dc:creator>
  <cp:keywords/>
  <dc:description/>
  <cp:lastModifiedBy>Nieuwenhuis, Hannah L</cp:lastModifiedBy>
  <cp:revision>9</cp:revision>
  <dcterms:created xsi:type="dcterms:W3CDTF">2021-10-04T15:28:00Z</dcterms:created>
  <dcterms:modified xsi:type="dcterms:W3CDTF">2022-12-09T09:23:00Z</dcterms:modified>
</cp:coreProperties>
</file>