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8845" w14:textId="39ECCAC4" w:rsidR="00502982" w:rsidRPr="002531A7" w:rsidRDefault="00AA3B59" w:rsidP="002531A7">
      <w:pPr>
        <w:pStyle w:val="Heading1"/>
        <w:rPr>
          <w:rFonts w:ascii="Arial Black" w:hAnsi="Arial Black"/>
          <w:color w:val="auto"/>
        </w:rPr>
      </w:pPr>
      <w:r w:rsidRPr="002531A7">
        <w:rPr>
          <w:rFonts w:ascii="Arial Black" w:hAnsi="Arial Black"/>
          <w:color w:val="auto"/>
        </w:rPr>
        <w:t>T</w:t>
      </w:r>
      <w:r w:rsidR="00502982" w:rsidRPr="002531A7">
        <w:rPr>
          <w:rFonts w:ascii="Arial Black" w:hAnsi="Arial Black"/>
          <w:color w:val="auto"/>
        </w:rPr>
        <w:t xml:space="preserve">eaching, </w:t>
      </w:r>
      <w:r w:rsidR="003B4A22" w:rsidRPr="002531A7">
        <w:rPr>
          <w:rFonts w:ascii="Arial Black" w:hAnsi="Arial Black"/>
          <w:color w:val="auto"/>
        </w:rPr>
        <w:t>L</w:t>
      </w:r>
      <w:r w:rsidR="00502982" w:rsidRPr="002531A7">
        <w:rPr>
          <w:rFonts w:ascii="Arial Black" w:hAnsi="Arial Black"/>
          <w:color w:val="auto"/>
        </w:rPr>
        <w:t xml:space="preserve">earning and </w:t>
      </w:r>
      <w:r w:rsidR="003B4A22" w:rsidRPr="002531A7">
        <w:rPr>
          <w:rFonts w:ascii="Arial Black" w:hAnsi="Arial Black"/>
          <w:color w:val="auto"/>
        </w:rPr>
        <w:t>A</w:t>
      </w:r>
      <w:r w:rsidR="00502982" w:rsidRPr="002531A7">
        <w:rPr>
          <w:rFonts w:ascii="Arial Black" w:hAnsi="Arial Black"/>
          <w:color w:val="auto"/>
        </w:rPr>
        <w:t xml:space="preserve">ssessment </w:t>
      </w:r>
      <w:r w:rsidR="003B4A22" w:rsidRPr="002531A7">
        <w:rPr>
          <w:rFonts w:ascii="Arial Black" w:hAnsi="Arial Black"/>
          <w:color w:val="auto"/>
        </w:rPr>
        <w:t>G</w:t>
      </w:r>
      <w:r w:rsidRPr="002531A7">
        <w:rPr>
          <w:rFonts w:ascii="Arial Black" w:hAnsi="Arial Black"/>
          <w:color w:val="auto"/>
        </w:rPr>
        <w:t>uidance</w:t>
      </w:r>
      <w:r w:rsidR="00502982" w:rsidRPr="002531A7">
        <w:rPr>
          <w:rFonts w:ascii="Arial Black" w:hAnsi="Arial Black"/>
          <w:color w:val="auto"/>
        </w:rPr>
        <w:t xml:space="preserve"> </w:t>
      </w:r>
    </w:p>
    <w:p w14:paraId="591996BB" w14:textId="77777777" w:rsidR="00502982" w:rsidRDefault="00502982" w:rsidP="00502982">
      <w:pPr>
        <w:pStyle w:val="ListParagraph"/>
      </w:pPr>
    </w:p>
    <w:p w14:paraId="6D191DA9" w14:textId="254EBB94" w:rsidR="0033158F" w:rsidRPr="00A9165C" w:rsidRDefault="0030736A" w:rsidP="00A9165C">
      <w:pPr>
        <w:spacing w:line="360" w:lineRule="auto"/>
        <w:rPr>
          <w:rFonts w:cs="Arial"/>
          <w:b/>
          <w:bCs/>
          <w:sz w:val="24"/>
          <w:szCs w:val="24"/>
        </w:rPr>
      </w:pPr>
      <w:r w:rsidRPr="00A9165C">
        <w:rPr>
          <w:rFonts w:cs="Arial"/>
          <w:b/>
          <w:bCs/>
          <w:sz w:val="24"/>
          <w:szCs w:val="24"/>
        </w:rPr>
        <w:t>Introduction and P</w:t>
      </w:r>
      <w:r w:rsidR="0033158F" w:rsidRPr="00A9165C">
        <w:rPr>
          <w:rFonts w:cs="Arial"/>
          <w:b/>
          <w:bCs/>
          <w:sz w:val="24"/>
          <w:szCs w:val="24"/>
        </w:rPr>
        <w:t>urpose</w:t>
      </w:r>
    </w:p>
    <w:p w14:paraId="65F34192" w14:textId="5E046CDC" w:rsidR="005F1DEF" w:rsidRDefault="47DAA4F7" w:rsidP="00A9165C">
      <w:pPr>
        <w:spacing w:line="360" w:lineRule="auto"/>
        <w:rPr>
          <w:rFonts w:cs="Arial"/>
          <w:sz w:val="22"/>
        </w:rPr>
      </w:pPr>
      <w:r w:rsidRPr="47DAA4F7">
        <w:rPr>
          <w:rFonts w:cs="Arial"/>
          <w:sz w:val="22"/>
        </w:rPr>
        <w:t xml:space="preserve">This document sets out the key information that should be included within the department’s teaching, learning and assessment </w:t>
      </w:r>
      <w:r w:rsidR="005A33CB">
        <w:rPr>
          <w:rFonts w:cs="Arial"/>
          <w:sz w:val="22"/>
        </w:rPr>
        <w:t xml:space="preserve">(TLA) </w:t>
      </w:r>
      <w:r w:rsidRPr="47DAA4F7">
        <w:rPr>
          <w:rFonts w:cs="Arial"/>
          <w:sz w:val="22"/>
        </w:rPr>
        <w:t xml:space="preserve">overview. It draws upon </w:t>
      </w:r>
      <w:r w:rsidR="00D94206">
        <w:rPr>
          <w:rFonts w:cs="Arial"/>
          <w:sz w:val="22"/>
        </w:rPr>
        <w:t xml:space="preserve">the Office for Students </w:t>
      </w:r>
      <w:hyperlink r:id="rId8" w:history="1">
        <w:r w:rsidR="00D94206" w:rsidRPr="001B4E4D">
          <w:rPr>
            <w:rStyle w:val="Hyperlink"/>
            <w:rFonts w:cs="Arial"/>
            <w:color w:val="0000FF"/>
            <w:sz w:val="22"/>
          </w:rPr>
          <w:t>Regulatory Framework for Higher Education in England</w:t>
        </w:r>
      </w:hyperlink>
      <w:r w:rsidR="001B4E4D" w:rsidRPr="001B4E4D">
        <w:rPr>
          <w:rFonts w:cs="Arial"/>
          <w:color w:val="0000FF"/>
          <w:sz w:val="22"/>
          <w:u w:val="single"/>
        </w:rPr>
        <w:t xml:space="preserve"> and Conditions of Registration</w:t>
      </w:r>
      <w:r w:rsidR="00D94206">
        <w:rPr>
          <w:rFonts w:cs="Arial"/>
          <w:sz w:val="22"/>
        </w:rPr>
        <w:t>, the</w:t>
      </w:r>
      <w:r w:rsidRPr="47DAA4F7">
        <w:rPr>
          <w:rFonts w:cs="Arial"/>
          <w:sz w:val="22"/>
        </w:rPr>
        <w:t xml:space="preserve"> </w:t>
      </w:r>
      <w:hyperlink r:id="rId9">
        <w:r w:rsidRPr="47DAA4F7">
          <w:rPr>
            <w:rStyle w:val="Hyperlink"/>
            <w:rFonts w:cs="Arial"/>
            <w:sz w:val="22"/>
          </w:rPr>
          <w:t>QAA Quality Code</w:t>
        </w:r>
      </w:hyperlink>
      <w:r w:rsidRPr="47DAA4F7">
        <w:rPr>
          <w:rFonts w:cs="Arial"/>
          <w:sz w:val="22"/>
        </w:rPr>
        <w:t xml:space="preserve">, CMA information as well as guidance from Organisational Development, Student Wellbeing and Inclusivity Service, and Technology Enhanced Learning teams. </w:t>
      </w:r>
    </w:p>
    <w:p w14:paraId="3DC4D861" w14:textId="43ADC92B" w:rsidR="0041698E" w:rsidRPr="002243F1" w:rsidRDefault="0041698E" w:rsidP="00A9165C">
      <w:pPr>
        <w:spacing w:line="360" w:lineRule="auto"/>
        <w:rPr>
          <w:rFonts w:cs="Arial"/>
          <w:sz w:val="14"/>
          <w:szCs w:val="14"/>
        </w:rPr>
      </w:pPr>
    </w:p>
    <w:p w14:paraId="015A729C" w14:textId="4C57E475" w:rsidR="0041698E" w:rsidRDefault="0041698E" w:rsidP="00A9165C">
      <w:pPr>
        <w:spacing w:line="360" w:lineRule="auto"/>
        <w:rPr>
          <w:rFonts w:cs="Arial"/>
          <w:sz w:val="22"/>
        </w:rPr>
      </w:pPr>
      <w:r w:rsidRPr="00DB3DE2">
        <w:rPr>
          <w:rFonts w:cs="Arial"/>
          <w:sz w:val="22"/>
        </w:rPr>
        <w:t xml:space="preserve">As detailed in </w:t>
      </w:r>
      <w:r>
        <w:rPr>
          <w:rFonts w:cs="Arial"/>
          <w:sz w:val="22"/>
        </w:rPr>
        <w:t xml:space="preserve">various policies, including </w:t>
      </w:r>
      <w:r w:rsidRPr="00DB3DE2">
        <w:rPr>
          <w:rFonts w:cs="Arial"/>
          <w:sz w:val="22"/>
        </w:rPr>
        <w:t xml:space="preserve">the University’s </w:t>
      </w:r>
      <w:hyperlink r:id="rId10" w:history="1">
        <w:r w:rsidR="009E3C73" w:rsidRPr="009E3C73">
          <w:rPr>
            <w:rStyle w:val="Hyperlink"/>
            <w:rFonts w:cs="Arial"/>
            <w:sz w:val="22"/>
          </w:rPr>
          <w:t>assessment policies</w:t>
        </w:r>
      </w:hyperlink>
      <w:r w:rsidR="004A0896" w:rsidRPr="004A0896">
        <w:rPr>
          <w:rStyle w:val="Hyperlink"/>
          <w:rFonts w:cs="Arial"/>
          <w:color w:val="000000" w:themeColor="text1"/>
          <w:sz w:val="22"/>
          <w:u w:val="none"/>
        </w:rPr>
        <w:t>, d</w:t>
      </w:r>
      <w:r w:rsidRPr="004A0896">
        <w:rPr>
          <w:rFonts w:cs="Arial"/>
          <w:color w:val="000000" w:themeColor="text1"/>
          <w:sz w:val="22"/>
        </w:rPr>
        <w:t xml:space="preserve">epartments </w:t>
      </w:r>
      <w:r w:rsidRPr="00DB3DE2">
        <w:rPr>
          <w:rFonts w:cs="Arial"/>
          <w:sz w:val="22"/>
        </w:rPr>
        <w:t>should have an assessment strategy for each course, or set of courses, for approval in the annual monitoring process and periodic review</w:t>
      </w:r>
      <w:r w:rsidR="00DF0859">
        <w:rPr>
          <w:rFonts w:cs="Arial"/>
          <w:sz w:val="22"/>
        </w:rPr>
        <w:t xml:space="preserve"> of courses</w:t>
      </w:r>
      <w:r>
        <w:rPr>
          <w:rFonts w:cs="Arial"/>
          <w:sz w:val="22"/>
        </w:rPr>
        <w:t xml:space="preserve">. Departments are asked to provide documents which reflect on approaches to learning and teaching in </w:t>
      </w:r>
      <w:r w:rsidR="00DF0859">
        <w:rPr>
          <w:rFonts w:cs="Arial"/>
          <w:sz w:val="22"/>
        </w:rPr>
        <w:t>periodic reviews.</w:t>
      </w:r>
    </w:p>
    <w:p w14:paraId="7A07FB8F" w14:textId="1F4A91FD" w:rsidR="0041698E" w:rsidRPr="002243F1" w:rsidRDefault="0041698E" w:rsidP="00A9165C">
      <w:pPr>
        <w:spacing w:line="360" w:lineRule="auto"/>
        <w:rPr>
          <w:rFonts w:cs="Arial"/>
          <w:sz w:val="14"/>
          <w:szCs w:val="14"/>
        </w:rPr>
      </w:pPr>
    </w:p>
    <w:p w14:paraId="7374A3DE" w14:textId="58E69D73" w:rsidR="00A9165C" w:rsidRDefault="0041698E" w:rsidP="00A9165C">
      <w:pPr>
        <w:spacing w:line="360" w:lineRule="auto"/>
        <w:rPr>
          <w:rFonts w:cs="Arial"/>
          <w:sz w:val="22"/>
        </w:rPr>
      </w:pPr>
      <w:r>
        <w:rPr>
          <w:rFonts w:cs="Arial"/>
          <w:sz w:val="22"/>
        </w:rPr>
        <w:t>Pulling these areas together provides a document that can be shared across the department, as well as being used in internal and external annual and periodic reviews.</w:t>
      </w:r>
    </w:p>
    <w:p w14:paraId="2233254A" w14:textId="77777777" w:rsidR="001F4DA1" w:rsidRPr="001F4DA1" w:rsidRDefault="001F4DA1" w:rsidP="00A9165C">
      <w:pPr>
        <w:spacing w:line="360" w:lineRule="auto"/>
        <w:rPr>
          <w:rFonts w:cs="Arial"/>
          <w:sz w:val="22"/>
        </w:rPr>
      </w:pPr>
    </w:p>
    <w:p w14:paraId="2566E329" w14:textId="6D6915C2" w:rsidR="0041698E" w:rsidRPr="0041698E" w:rsidRDefault="0041698E" w:rsidP="00A9165C">
      <w:pPr>
        <w:spacing w:line="360" w:lineRule="auto"/>
        <w:rPr>
          <w:rFonts w:cs="Arial"/>
          <w:b/>
          <w:bCs/>
          <w:sz w:val="22"/>
        </w:rPr>
      </w:pPr>
      <w:r w:rsidRPr="0041698E">
        <w:rPr>
          <w:rFonts w:cs="Arial"/>
          <w:b/>
          <w:bCs/>
          <w:sz w:val="22"/>
        </w:rPr>
        <w:t>Aim</w:t>
      </w:r>
    </w:p>
    <w:p w14:paraId="1F81BEB1" w14:textId="656ACE4C" w:rsidR="0041698E" w:rsidRDefault="47DAA4F7" w:rsidP="00A9165C">
      <w:pPr>
        <w:spacing w:line="360" w:lineRule="auto"/>
        <w:rPr>
          <w:rFonts w:cs="Arial"/>
          <w:sz w:val="22"/>
        </w:rPr>
      </w:pPr>
      <w:r w:rsidRPr="47DAA4F7">
        <w:rPr>
          <w:rFonts w:cs="Arial"/>
          <w:sz w:val="22"/>
        </w:rPr>
        <w:t>The aim is for this to become a working document, updated at each level of provision on an annual basis via the Curriculum Update.</w:t>
      </w:r>
    </w:p>
    <w:p w14:paraId="73517D6C" w14:textId="77777777" w:rsidR="0041698E" w:rsidRPr="002243F1" w:rsidRDefault="0041698E" w:rsidP="00A9165C">
      <w:pPr>
        <w:spacing w:line="360" w:lineRule="auto"/>
        <w:rPr>
          <w:rFonts w:cs="Arial"/>
          <w:sz w:val="14"/>
          <w:szCs w:val="14"/>
        </w:rPr>
      </w:pPr>
    </w:p>
    <w:p w14:paraId="05A95D28" w14:textId="5CBF672B" w:rsidR="004D1E14" w:rsidRDefault="0041698E" w:rsidP="00A9165C">
      <w:pPr>
        <w:spacing w:line="360" w:lineRule="auto"/>
        <w:rPr>
          <w:rFonts w:cs="Arial"/>
          <w:sz w:val="22"/>
        </w:rPr>
      </w:pPr>
      <w:r w:rsidRPr="0041698E">
        <w:rPr>
          <w:rFonts w:cs="Arial"/>
          <w:sz w:val="22"/>
        </w:rPr>
        <w:t>Th</w:t>
      </w:r>
      <w:r w:rsidR="005557A3">
        <w:rPr>
          <w:rFonts w:cs="Arial"/>
          <w:sz w:val="22"/>
        </w:rPr>
        <w:t xml:space="preserve">is </w:t>
      </w:r>
      <w:r w:rsidRPr="0041698E">
        <w:rPr>
          <w:rFonts w:cs="Arial"/>
          <w:sz w:val="22"/>
        </w:rPr>
        <w:t>could be used to:</w:t>
      </w:r>
    </w:p>
    <w:p w14:paraId="6DC260B1" w14:textId="77777777" w:rsidR="0041698E" w:rsidRPr="0041698E" w:rsidRDefault="0041698E" w:rsidP="00A9165C">
      <w:pPr>
        <w:numPr>
          <w:ilvl w:val="0"/>
          <w:numId w:val="15"/>
        </w:numPr>
        <w:spacing w:line="360" w:lineRule="auto"/>
        <w:ind w:left="567"/>
        <w:rPr>
          <w:rFonts w:cs="Arial"/>
          <w:sz w:val="22"/>
        </w:rPr>
      </w:pPr>
      <w:r w:rsidRPr="0041698E">
        <w:rPr>
          <w:rFonts w:cs="Arial"/>
          <w:b/>
          <w:bCs/>
          <w:sz w:val="22"/>
        </w:rPr>
        <w:t>form the basis for discussions within the department</w:t>
      </w:r>
      <w:r w:rsidRPr="0041698E">
        <w:rPr>
          <w:rFonts w:cs="Arial"/>
          <w:sz w:val="22"/>
        </w:rPr>
        <w:t>, and during quality enhancement meetings, to formulate teaching, learning and assessment plans as well as embedding new initiatives for future academic years</w:t>
      </w:r>
    </w:p>
    <w:p w14:paraId="55046A40" w14:textId="3F03419A" w:rsidR="0041698E" w:rsidRPr="0041698E" w:rsidRDefault="0041698E" w:rsidP="00A9165C">
      <w:pPr>
        <w:numPr>
          <w:ilvl w:val="0"/>
          <w:numId w:val="15"/>
        </w:numPr>
        <w:spacing w:line="360" w:lineRule="auto"/>
        <w:ind w:left="567"/>
        <w:rPr>
          <w:rFonts w:cs="Arial"/>
          <w:sz w:val="22"/>
        </w:rPr>
      </w:pPr>
      <w:r w:rsidRPr="0041698E">
        <w:rPr>
          <w:rFonts w:cs="Arial"/>
          <w:b/>
          <w:bCs/>
          <w:sz w:val="22"/>
        </w:rPr>
        <w:t>support academic members of staff</w:t>
      </w:r>
      <w:r w:rsidRPr="0041698E">
        <w:rPr>
          <w:rFonts w:cs="Arial"/>
          <w:sz w:val="22"/>
        </w:rPr>
        <w:t xml:space="preserve"> in designing, developing, and delivering new courses and modules</w:t>
      </w:r>
      <w:r w:rsidR="00B46BB9">
        <w:rPr>
          <w:rFonts w:cs="Arial"/>
          <w:sz w:val="22"/>
        </w:rPr>
        <w:t xml:space="preserve"> which are accessible to all students</w:t>
      </w:r>
    </w:p>
    <w:p w14:paraId="256CEE25" w14:textId="77777777" w:rsidR="0041698E" w:rsidRPr="0041698E" w:rsidRDefault="0041698E" w:rsidP="00A9165C">
      <w:pPr>
        <w:numPr>
          <w:ilvl w:val="0"/>
          <w:numId w:val="15"/>
        </w:numPr>
        <w:spacing w:line="360" w:lineRule="auto"/>
        <w:ind w:left="567"/>
        <w:rPr>
          <w:rFonts w:cs="Arial"/>
          <w:sz w:val="22"/>
        </w:rPr>
      </w:pPr>
      <w:r w:rsidRPr="0041698E">
        <w:rPr>
          <w:rFonts w:cs="Arial"/>
          <w:b/>
          <w:bCs/>
          <w:sz w:val="22"/>
        </w:rPr>
        <w:t>provide a standardised approach</w:t>
      </w:r>
      <w:r w:rsidRPr="0041698E">
        <w:rPr>
          <w:rFonts w:cs="Arial"/>
          <w:sz w:val="22"/>
        </w:rPr>
        <w:t xml:space="preserve"> to learning outcomes to ensure that they are at the appropriate level and volume of credits</w:t>
      </w:r>
    </w:p>
    <w:p w14:paraId="5EF8D390" w14:textId="77777777" w:rsidR="0041698E" w:rsidRPr="0041698E" w:rsidRDefault="0041698E" w:rsidP="00A9165C">
      <w:pPr>
        <w:numPr>
          <w:ilvl w:val="0"/>
          <w:numId w:val="15"/>
        </w:numPr>
        <w:spacing w:line="360" w:lineRule="auto"/>
        <w:ind w:left="567"/>
        <w:rPr>
          <w:rFonts w:cs="Arial"/>
          <w:sz w:val="22"/>
        </w:rPr>
      </w:pPr>
      <w:r w:rsidRPr="0041698E">
        <w:rPr>
          <w:rFonts w:cs="Arial"/>
          <w:b/>
          <w:bCs/>
          <w:sz w:val="22"/>
        </w:rPr>
        <w:t>assist with internal/external review or accreditation requirements</w:t>
      </w:r>
      <w:r w:rsidRPr="0041698E">
        <w:rPr>
          <w:rFonts w:cs="Arial"/>
          <w:sz w:val="22"/>
        </w:rPr>
        <w:t xml:space="preserve"> since it could be referred to without having to create something new</w:t>
      </w:r>
    </w:p>
    <w:p w14:paraId="5347395B" w14:textId="21F96D18" w:rsidR="004B3927" w:rsidRDefault="0041698E" w:rsidP="00A9165C">
      <w:pPr>
        <w:numPr>
          <w:ilvl w:val="0"/>
          <w:numId w:val="15"/>
        </w:numPr>
        <w:spacing w:line="360" w:lineRule="auto"/>
        <w:ind w:left="567"/>
        <w:rPr>
          <w:rFonts w:cs="Arial"/>
          <w:sz w:val="22"/>
        </w:rPr>
      </w:pPr>
      <w:r w:rsidRPr="0041698E">
        <w:rPr>
          <w:rFonts w:cs="Arial"/>
          <w:b/>
          <w:bCs/>
          <w:sz w:val="22"/>
        </w:rPr>
        <w:t>set the scene for the annual Curriculum Update</w:t>
      </w:r>
      <w:r w:rsidRPr="0041698E">
        <w:rPr>
          <w:rFonts w:cs="Arial"/>
          <w:sz w:val="22"/>
        </w:rPr>
        <w:t xml:space="preserve"> </w:t>
      </w:r>
      <w:r w:rsidR="00A33AB2">
        <w:rPr>
          <w:rFonts w:cs="Arial"/>
          <w:sz w:val="22"/>
        </w:rPr>
        <w:t>by encouraging departments to consider, review and update the TLA as the first step of planning changes to curriculum.</w:t>
      </w:r>
      <w:r w:rsidRPr="0041698E">
        <w:rPr>
          <w:rFonts w:cs="Arial"/>
          <w:sz w:val="22"/>
        </w:rPr>
        <w:t xml:space="preserve"> </w:t>
      </w:r>
      <w:r w:rsidR="00A33AB2">
        <w:rPr>
          <w:rFonts w:cs="Arial"/>
          <w:sz w:val="22"/>
        </w:rPr>
        <w:t>W</w:t>
      </w:r>
      <w:r w:rsidRPr="0041698E">
        <w:rPr>
          <w:rFonts w:cs="Arial"/>
          <w:sz w:val="22"/>
        </w:rPr>
        <w:t>ould enable more efficient approval of changes by the Faculty Deans and the Quality and Academic Development team and would also assist with compliance with CMA and other external regulations.</w:t>
      </w:r>
      <w:r w:rsidR="004B3927">
        <w:rPr>
          <w:rFonts w:cs="Arial"/>
          <w:sz w:val="22"/>
        </w:rPr>
        <w:t xml:space="preserve"> </w:t>
      </w:r>
    </w:p>
    <w:p w14:paraId="5D814935" w14:textId="78DAE8CA" w:rsidR="005A33CB" w:rsidRDefault="005A33CB">
      <w:pPr>
        <w:spacing w:after="200" w:line="276" w:lineRule="auto"/>
        <w:rPr>
          <w:rFonts w:cs="Arial"/>
          <w:b/>
          <w:bCs/>
          <w:sz w:val="22"/>
        </w:rPr>
      </w:pPr>
    </w:p>
    <w:p w14:paraId="2973C6CA" w14:textId="6EF8E54A" w:rsidR="0041698E" w:rsidRPr="0041698E" w:rsidRDefault="0041698E" w:rsidP="00A9165C">
      <w:pPr>
        <w:spacing w:line="360" w:lineRule="auto"/>
        <w:rPr>
          <w:rFonts w:cs="Arial"/>
          <w:b/>
          <w:bCs/>
          <w:sz w:val="22"/>
        </w:rPr>
      </w:pPr>
      <w:r w:rsidRPr="0041698E">
        <w:rPr>
          <w:rFonts w:cs="Arial"/>
          <w:b/>
          <w:bCs/>
          <w:sz w:val="22"/>
        </w:rPr>
        <w:t>What to cover</w:t>
      </w:r>
    </w:p>
    <w:p w14:paraId="72F7F8AC" w14:textId="466FE9B5" w:rsidR="0041698E" w:rsidRPr="0041698E" w:rsidRDefault="0041698E" w:rsidP="00A9165C">
      <w:pPr>
        <w:spacing w:line="360" w:lineRule="auto"/>
        <w:rPr>
          <w:rFonts w:cs="Arial"/>
          <w:sz w:val="22"/>
        </w:rPr>
      </w:pPr>
      <w:r w:rsidRPr="0041698E">
        <w:rPr>
          <w:rFonts w:cs="Arial"/>
          <w:sz w:val="22"/>
        </w:rPr>
        <w:t xml:space="preserve">The </w:t>
      </w:r>
      <w:r w:rsidR="005557A3">
        <w:rPr>
          <w:rFonts w:cs="Arial"/>
          <w:sz w:val="22"/>
        </w:rPr>
        <w:t>outline</w:t>
      </w:r>
      <w:r w:rsidRPr="0041698E">
        <w:rPr>
          <w:rFonts w:cs="Arial"/>
          <w:sz w:val="22"/>
        </w:rPr>
        <w:t xml:space="preserve"> should cover:</w:t>
      </w:r>
    </w:p>
    <w:p w14:paraId="1FC72051" w14:textId="77777777" w:rsidR="0041698E" w:rsidRPr="0041698E" w:rsidRDefault="0041698E" w:rsidP="00A9165C">
      <w:pPr>
        <w:numPr>
          <w:ilvl w:val="0"/>
          <w:numId w:val="16"/>
        </w:numPr>
        <w:spacing w:line="360" w:lineRule="auto"/>
        <w:ind w:left="567"/>
        <w:rPr>
          <w:rFonts w:cs="Arial"/>
          <w:sz w:val="22"/>
        </w:rPr>
      </w:pPr>
      <w:r w:rsidRPr="0041698E">
        <w:rPr>
          <w:rFonts w:cs="Arial"/>
          <w:sz w:val="22"/>
          <w:u w:val="single"/>
        </w:rPr>
        <w:t>each level of provision</w:t>
      </w:r>
      <w:r w:rsidRPr="0041698E">
        <w:rPr>
          <w:rFonts w:cs="Arial"/>
          <w:sz w:val="22"/>
        </w:rPr>
        <w:t xml:space="preserve"> (undergraduate and postgraduate taught and research)</w:t>
      </w:r>
    </w:p>
    <w:p w14:paraId="352F7807" w14:textId="77777777" w:rsidR="0041698E" w:rsidRPr="0041698E" w:rsidRDefault="0041698E" w:rsidP="00A9165C">
      <w:pPr>
        <w:numPr>
          <w:ilvl w:val="0"/>
          <w:numId w:val="16"/>
        </w:numPr>
        <w:spacing w:line="360" w:lineRule="auto"/>
        <w:ind w:left="567"/>
        <w:rPr>
          <w:rFonts w:cs="Arial"/>
          <w:sz w:val="22"/>
        </w:rPr>
      </w:pPr>
      <w:r w:rsidRPr="0041698E">
        <w:rPr>
          <w:rFonts w:cs="Arial"/>
          <w:sz w:val="22"/>
        </w:rPr>
        <w:t>all modes of delivery (including online/blended study)</w:t>
      </w:r>
    </w:p>
    <w:p w14:paraId="5D91A61B" w14:textId="7577C4F7" w:rsidR="0041698E" w:rsidRPr="0047157D" w:rsidRDefault="0041698E" w:rsidP="00A9165C">
      <w:pPr>
        <w:numPr>
          <w:ilvl w:val="0"/>
          <w:numId w:val="16"/>
        </w:numPr>
        <w:spacing w:line="360" w:lineRule="auto"/>
        <w:ind w:left="567"/>
        <w:rPr>
          <w:rFonts w:cs="Arial"/>
          <w:sz w:val="22"/>
        </w:rPr>
      </w:pPr>
      <w:r w:rsidRPr="0041698E">
        <w:rPr>
          <w:rFonts w:cs="Arial"/>
          <w:sz w:val="22"/>
        </w:rPr>
        <w:t>both assessment and reassessment.</w:t>
      </w:r>
    </w:p>
    <w:p w14:paraId="6C975A35" w14:textId="77777777" w:rsidR="00A9165C" w:rsidRDefault="00A9165C" w:rsidP="00A9165C">
      <w:pPr>
        <w:spacing w:line="360" w:lineRule="auto"/>
        <w:rPr>
          <w:rFonts w:cs="Arial"/>
          <w:b/>
          <w:bCs/>
          <w:sz w:val="22"/>
        </w:rPr>
      </w:pPr>
    </w:p>
    <w:p w14:paraId="2B32AFA7" w14:textId="355A846F" w:rsidR="0041698E" w:rsidRPr="0041698E" w:rsidRDefault="0041698E" w:rsidP="00A9165C">
      <w:pPr>
        <w:spacing w:line="360" w:lineRule="auto"/>
        <w:rPr>
          <w:rFonts w:cs="Arial"/>
          <w:b/>
          <w:bCs/>
          <w:sz w:val="22"/>
        </w:rPr>
      </w:pPr>
      <w:r w:rsidRPr="0041698E">
        <w:rPr>
          <w:rFonts w:cs="Arial"/>
          <w:b/>
          <w:bCs/>
          <w:sz w:val="22"/>
        </w:rPr>
        <w:t>What to consider</w:t>
      </w:r>
    </w:p>
    <w:p w14:paraId="40B3A0CA" w14:textId="6707FAF9" w:rsidR="005F1DEF" w:rsidRDefault="0041698E" w:rsidP="00A9165C">
      <w:pPr>
        <w:spacing w:line="360" w:lineRule="auto"/>
        <w:rPr>
          <w:rFonts w:cs="Arial"/>
          <w:sz w:val="22"/>
        </w:rPr>
      </w:pPr>
      <w:r>
        <w:rPr>
          <w:rFonts w:cs="Arial"/>
          <w:sz w:val="22"/>
        </w:rPr>
        <w:t xml:space="preserve">The </w:t>
      </w:r>
      <w:r w:rsidR="005557A3">
        <w:rPr>
          <w:rFonts w:cs="Arial"/>
          <w:sz w:val="22"/>
        </w:rPr>
        <w:t>outline</w:t>
      </w:r>
      <w:r>
        <w:rPr>
          <w:rFonts w:cs="Arial"/>
          <w:sz w:val="22"/>
        </w:rPr>
        <w:t xml:space="preserve"> should reflect upon</w:t>
      </w:r>
      <w:r w:rsidR="00F7747F">
        <w:rPr>
          <w:rFonts w:cs="Arial"/>
          <w:sz w:val="22"/>
        </w:rPr>
        <w:t xml:space="preserve"> </w:t>
      </w:r>
      <w:hyperlink r:id="rId11" w:history="1">
        <w:r w:rsidR="00F7747F" w:rsidRPr="00F7747F">
          <w:rPr>
            <w:rStyle w:val="Hyperlink"/>
            <w:rFonts w:cs="Arial"/>
            <w:sz w:val="22"/>
          </w:rPr>
          <w:t>University strategy</w:t>
        </w:r>
      </w:hyperlink>
      <w:r w:rsidR="00F7747F">
        <w:rPr>
          <w:rFonts w:cs="Arial"/>
          <w:sz w:val="22"/>
        </w:rPr>
        <w:t xml:space="preserve"> and policies:</w:t>
      </w:r>
    </w:p>
    <w:p w14:paraId="051EED18" w14:textId="748C9605" w:rsidR="0041698E" w:rsidRDefault="297E92ED" w:rsidP="00A9165C">
      <w:pPr>
        <w:pStyle w:val="ListParagraph"/>
        <w:numPr>
          <w:ilvl w:val="0"/>
          <w:numId w:val="17"/>
        </w:numPr>
        <w:spacing w:line="360" w:lineRule="auto"/>
        <w:ind w:left="567"/>
        <w:rPr>
          <w:rFonts w:cs="Arial"/>
          <w:sz w:val="22"/>
        </w:rPr>
      </w:pPr>
      <w:r w:rsidRPr="0041698E">
        <w:rPr>
          <w:rFonts w:cs="Arial"/>
          <w:sz w:val="22"/>
        </w:rPr>
        <w:t xml:space="preserve">the University’s </w:t>
      </w:r>
      <w:hyperlink r:id="rId12" w:history="1">
        <w:r w:rsidR="00F7747F" w:rsidRPr="00F7747F">
          <w:rPr>
            <w:rStyle w:val="Hyperlink"/>
            <w:rFonts w:cs="Arial"/>
            <w:sz w:val="22"/>
          </w:rPr>
          <w:t>Education Strategy</w:t>
        </w:r>
      </w:hyperlink>
      <w:r w:rsidR="00F7747F">
        <w:rPr>
          <w:rFonts w:cs="Arial"/>
          <w:sz w:val="22"/>
        </w:rPr>
        <w:t xml:space="preserve"> </w:t>
      </w:r>
    </w:p>
    <w:p w14:paraId="0D17096A" w14:textId="045D403F" w:rsidR="0041698E" w:rsidRPr="00AC2E54" w:rsidRDefault="297E92ED" w:rsidP="00A9165C">
      <w:pPr>
        <w:pStyle w:val="ListParagraph"/>
        <w:numPr>
          <w:ilvl w:val="0"/>
          <w:numId w:val="17"/>
        </w:numPr>
        <w:spacing w:line="360" w:lineRule="auto"/>
        <w:ind w:left="567"/>
        <w:rPr>
          <w:rStyle w:val="Hyperlink"/>
          <w:rFonts w:cs="Arial"/>
          <w:color w:val="auto"/>
          <w:sz w:val="22"/>
          <w:u w:val="none"/>
        </w:rPr>
      </w:pPr>
      <w:r w:rsidRPr="0041698E">
        <w:rPr>
          <w:rFonts w:cs="Arial"/>
          <w:sz w:val="22"/>
        </w:rPr>
        <w:t xml:space="preserve">the </w:t>
      </w:r>
      <w:hyperlink r:id="rId13" w:history="1">
        <w:r w:rsidRPr="00F7747F">
          <w:rPr>
            <w:rStyle w:val="Hyperlink"/>
            <w:rFonts w:cs="Arial"/>
            <w:sz w:val="22"/>
          </w:rPr>
          <w:t>Education Action Plan</w:t>
        </w:r>
      </w:hyperlink>
      <w:r w:rsidRPr="00F7747F">
        <w:rPr>
          <w:rFonts w:cs="Arial"/>
          <w:sz w:val="22"/>
        </w:rPr>
        <w:t xml:space="preserve"> </w:t>
      </w:r>
    </w:p>
    <w:p w14:paraId="396AD03E" w14:textId="3EE76876" w:rsidR="00AC2E54" w:rsidRPr="0041698E" w:rsidRDefault="00AC2E54" w:rsidP="00A9165C">
      <w:pPr>
        <w:pStyle w:val="ListParagraph"/>
        <w:numPr>
          <w:ilvl w:val="0"/>
          <w:numId w:val="17"/>
        </w:numPr>
        <w:spacing w:line="360" w:lineRule="auto"/>
        <w:ind w:left="567"/>
        <w:rPr>
          <w:rStyle w:val="Hyperlink"/>
          <w:rFonts w:cs="Arial"/>
          <w:color w:val="auto"/>
          <w:sz w:val="22"/>
          <w:u w:val="none"/>
        </w:rPr>
      </w:pPr>
      <w:r w:rsidRPr="00047D13">
        <w:rPr>
          <w:rStyle w:val="Hyperlink"/>
          <w:rFonts w:cs="Arial"/>
          <w:color w:val="auto"/>
          <w:sz w:val="22"/>
          <w:u w:val="none"/>
        </w:rPr>
        <w:t xml:space="preserve">the </w:t>
      </w:r>
      <w:hyperlink r:id="rId14" w:history="1">
        <w:r w:rsidRPr="00F7747F">
          <w:rPr>
            <w:rStyle w:val="Hyperlink"/>
            <w:rFonts w:cs="Arial"/>
            <w:sz w:val="22"/>
          </w:rPr>
          <w:t>Research Action Plan</w:t>
        </w:r>
      </w:hyperlink>
      <w:r w:rsidRPr="00F7747F">
        <w:rPr>
          <w:rFonts w:cs="Arial"/>
          <w:sz w:val="22"/>
        </w:rPr>
        <w:t xml:space="preserve"> </w:t>
      </w:r>
    </w:p>
    <w:p w14:paraId="52157CAD" w14:textId="77777777" w:rsidR="00AC2E54" w:rsidRPr="00AC2E54" w:rsidRDefault="297E92ED" w:rsidP="00A9165C">
      <w:pPr>
        <w:pStyle w:val="ListParagraph"/>
        <w:numPr>
          <w:ilvl w:val="0"/>
          <w:numId w:val="17"/>
        </w:numPr>
        <w:spacing w:line="360" w:lineRule="auto"/>
        <w:ind w:left="567"/>
        <w:rPr>
          <w:rStyle w:val="Hyperlink"/>
          <w:rFonts w:cs="Arial"/>
          <w:color w:val="auto"/>
          <w:sz w:val="22"/>
          <w:u w:val="none"/>
        </w:rPr>
      </w:pPr>
      <w:r w:rsidRPr="0041698E">
        <w:rPr>
          <w:rFonts w:cs="Arial"/>
          <w:sz w:val="22"/>
        </w:rPr>
        <w:t xml:space="preserve">associated </w:t>
      </w:r>
      <w:hyperlink r:id="rId15">
        <w:r w:rsidRPr="0041698E">
          <w:rPr>
            <w:rStyle w:val="Hyperlink"/>
            <w:rFonts w:cs="Arial"/>
            <w:sz w:val="22"/>
          </w:rPr>
          <w:t>assessment and marking policies</w:t>
        </w:r>
      </w:hyperlink>
    </w:p>
    <w:p w14:paraId="0B6BCB18" w14:textId="2432C169" w:rsidR="0041698E" w:rsidRDefault="00AC2E54" w:rsidP="00A9165C">
      <w:pPr>
        <w:pStyle w:val="ListParagraph"/>
        <w:numPr>
          <w:ilvl w:val="0"/>
          <w:numId w:val="17"/>
        </w:numPr>
        <w:spacing w:line="360" w:lineRule="auto"/>
        <w:ind w:left="567"/>
        <w:rPr>
          <w:rFonts w:cs="Arial"/>
          <w:sz w:val="22"/>
        </w:rPr>
      </w:pPr>
      <w:r w:rsidRPr="00047D13">
        <w:rPr>
          <w:rStyle w:val="Hyperlink"/>
          <w:rFonts w:cs="Arial"/>
          <w:color w:val="auto"/>
          <w:sz w:val="22"/>
          <w:u w:val="none"/>
        </w:rPr>
        <w:t>Handbook for SP and RSPBs including the</w:t>
      </w:r>
      <w:r w:rsidRPr="0047157D">
        <w:rPr>
          <w:rStyle w:val="Hyperlink"/>
          <w:rFonts w:cs="Arial"/>
          <w:color w:val="auto"/>
          <w:sz w:val="22"/>
          <w:u w:val="none"/>
        </w:rPr>
        <w:t xml:space="preserve"> </w:t>
      </w:r>
      <w:hyperlink r:id="rId16" w:history="1">
        <w:r w:rsidRPr="00AC2E54">
          <w:rPr>
            <w:rStyle w:val="Hyperlink"/>
            <w:rFonts w:cs="Arial"/>
            <w:sz w:val="22"/>
          </w:rPr>
          <w:t>Code of Practice for Research Vivas</w:t>
        </w:r>
      </w:hyperlink>
      <w:r w:rsidR="297E92ED" w:rsidRPr="0041698E">
        <w:rPr>
          <w:rFonts w:cs="Arial"/>
          <w:sz w:val="22"/>
        </w:rPr>
        <w:t xml:space="preserve"> </w:t>
      </w:r>
    </w:p>
    <w:p w14:paraId="11D4F360" w14:textId="77777777" w:rsidR="005A33CB" w:rsidRDefault="00C32173" w:rsidP="00A9165C">
      <w:pPr>
        <w:pStyle w:val="ListParagraph"/>
        <w:numPr>
          <w:ilvl w:val="0"/>
          <w:numId w:val="17"/>
        </w:numPr>
        <w:spacing w:line="360" w:lineRule="auto"/>
        <w:ind w:left="567"/>
        <w:rPr>
          <w:rFonts w:cs="Arial"/>
          <w:sz w:val="22"/>
        </w:rPr>
      </w:pPr>
      <w:r w:rsidRPr="0041698E">
        <w:rPr>
          <w:rFonts w:cs="Arial"/>
          <w:sz w:val="22"/>
        </w:rPr>
        <w:t>any other areas of focus for the University in particular years (</w:t>
      </w:r>
      <w:r w:rsidR="00BF1EF8" w:rsidRPr="0041698E">
        <w:rPr>
          <w:rFonts w:cs="Arial"/>
          <w:sz w:val="22"/>
        </w:rPr>
        <w:t>e.g.,</w:t>
      </w:r>
      <w:r w:rsidRPr="0041698E">
        <w:rPr>
          <w:rFonts w:cs="Arial"/>
          <w:sz w:val="22"/>
        </w:rPr>
        <w:t xml:space="preserve"> NSS action plans).</w:t>
      </w:r>
      <w:r w:rsidR="297E92ED" w:rsidRPr="0041698E">
        <w:rPr>
          <w:rFonts w:cs="Arial"/>
          <w:sz w:val="22"/>
        </w:rPr>
        <w:t xml:space="preserve"> </w:t>
      </w:r>
    </w:p>
    <w:p w14:paraId="329C094B" w14:textId="57DE9A5E" w:rsidR="002B0B15" w:rsidRPr="005A33CB" w:rsidRDefault="00284C34" w:rsidP="00A9165C">
      <w:pPr>
        <w:pStyle w:val="ListParagraph"/>
        <w:numPr>
          <w:ilvl w:val="0"/>
          <w:numId w:val="17"/>
        </w:numPr>
        <w:spacing w:line="360" w:lineRule="auto"/>
        <w:ind w:left="567"/>
        <w:rPr>
          <w:rFonts w:cs="Arial"/>
          <w:sz w:val="22"/>
        </w:rPr>
      </w:pPr>
      <w:r w:rsidRPr="005A33CB">
        <w:rPr>
          <w:rFonts w:cs="Arial"/>
          <w:sz w:val="22"/>
        </w:rPr>
        <w:t xml:space="preserve">Departments should also </w:t>
      </w:r>
      <w:r w:rsidR="003E246E" w:rsidRPr="005A33CB">
        <w:rPr>
          <w:rFonts w:cs="Arial"/>
          <w:sz w:val="22"/>
        </w:rPr>
        <w:t>consider</w:t>
      </w:r>
      <w:r w:rsidRPr="005A33CB">
        <w:rPr>
          <w:rFonts w:cs="Arial"/>
          <w:sz w:val="22"/>
        </w:rPr>
        <w:t xml:space="preserve"> the information and support provided to students throughout.</w:t>
      </w:r>
    </w:p>
    <w:p w14:paraId="3AE41277" w14:textId="77777777" w:rsidR="00436BD8" w:rsidRPr="00730F2A" w:rsidRDefault="00436BD8" w:rsidP="00DB3DE2">
      <w:pPr>
        <w:rPr>
          <w:rFonts w:cs="Arial"/>
          <w:sz w:val="10"/>
          <w:szCs w:val="10"/>
        </w:rPr>
      </w:pPr>
    </w:p>
    <w:p w14:paraId="7D64BC26" w14:textId="77777777" w:rsidR="005A33CB" w:rsidRDefault="005A33CB">
      <w:pPr>
        <w:spacing w:after="200" w:line="276" w:lineRule="auto"/>
        <w:rPr>
          <w:rFonts w:cs="Arial"/>
          <w:b/>
          <w:bCs/>
          <w:sz w:val="22"/>
        </w:rPr>
      </w:pPr>
    </w:p>
    <w:p w14:paraId="34589E7F" w14:textId="77777777" w:rsidR="005A33CB" w:rsidRDefault="005A33CB" w:rsidP="00F91485">
      <w:pPr>
        <w:pBdr>
          <w:top w:val="single" w:sz="4" w:space="1" w:color="auto"/>
          <w:left w:val="single" w:sz="4" w:space="4" w:color="auto"/>
          <w:bottom w:val="single" w:sz="4" w:space="1" w:color="auto"/>
          <w:right w:val="single" w:sz="4" w:space="4" w:color="auto"/>
        </w:pBdr>
        <w:spacing w:line="360" w:lineRule="auto"/>
        <w:rPr>
          <w:rFonts w:cs="Arial"/>
          <w:b/>
          <w:bCs/>
          <w:sz w:val="22"/>
        </w:rPr>
      </w:pPr>
      <w:r>
        <w:rPr>
          <w:rFonts w:cs="Arial"/>
          <w:b/>
          <w:bCs/>
          <w:sz w:val="22"/>
        </w:rPr>
        <w:t>Annual Curriculum Update</w:t>
      </w:r>
    </w:p>
    <w:p w14:paraId="58355705" w14:textId="77777777" w:rsidR="00F91485" w:rsidRDefault="005A33CB" w:rsidP="00F91485">
      <w:pPr>
        <w:pBdr>
          <w:top w:val="single" w:sz="4" w:space="1" w:color="auto"/>
          <w:left w:val="single" w:sz="4" w:space="4" w:color="auto"/>
          <w:bottom w:val="single" w:sz="4" w:space="1" w:color="auto"/>
          <w:right w:val="single" w:sz="4" w:space="4" w:color="auto"/>
        </w:pBdr>
        <w:spacing w:line="360" w:lineRule="auto"/>
        <w:rPr>
          <w:rFonts w:cs="Arial"/>
          <w:sz w:val="22"/>
        </w:rPr>
      </w:pPr>
      <w:r>
        <w:rPr>
          <w:rFonts w:cs="Arial"/>
          <w:sz w:val="22"/>
        </w:rPr>
        <w:t>Once a TLA has been populated, Departments</w:t>
      </w:r>
      <w:r w:rsidRPr="004B3927">
        <w:rPr>
          <w:rFonts w:cs="Arial"/>
          <w:sz w:val="22"/>
        </w:rPr>
        <w:t xml:space="preserve"> </w:t>
      </w:r>
      <w:r w:rsidRPr="003D7638">
        <w:rPr>
          <w:rFonts w:cs="Arial"/>
          <w:b/>
          <w:bCs/>
          <w:sz w:val="22"/>
        </w:rPr>
        <w:t>must check and update their TLA via Curriculum Update</w:t>
      </w:r>
      <w:r>
        <w:rPr>
          <w:rFonts w:cs="Arial"/>
          <w:sz w:val="22"/>
        </w:rPr>
        <w:t xml:space="preserve"> as part of the annual cycle of updates</w:t>
      </w:r>
      <w:r w:rsidRPr="004B3927">
        <w:rPr>
          <w:rFonts w:cs="Arial"/>
          <w:sz w:val="22"/>
        </w:rPr>
        <w:t xml:space="preserve"> each year</w:t>
      </w:r>
      <w:r w:rsidR="00A33AB2">
        <w:rPr>
          <w:rFonts w:cs="Arial"/>
          <w:sz w:val="22"/>
        </w:rPr>
        <w:t xml:space="preserve"> and this should be one of the first areas departments review. </w:t>
      </w:r>
    </w:p>
    <w:p w14:paraId="02A64327" w14:textId="77777777" w:rsidR="00F91485" w:rsidRDefault="00F91485" w:rsidP="00F91485">
      <w:pPr>
        <w:pBdr>
          <w:top w:val="single" w:sz="4" w:space="1" w:color="auto"/>
          <w:left w:val="single" w:sz="4" w:space="4" w:color="auto"/>
          <w:bottom w:val="single" w:sz="4" w:space="1" w:color="auto"/>
          <w:right w:val="single" w:sz="4" w:space="4" w:color="auto"/>
        </w:pBdr>
        <w:spacing w:line="360" w:lineRule="auto"/>
        <w:rPr>
          <w:rFonts w:cs="Arial"/>
          <w:sz w:val="22"/>
        </w:rPr>
      </w:pPr>
    </w:p>
    <w:p w14:paraId="46C5456E" w14:textId="09C8E91F" w:rsidR="005A33CB" w:rsidRPr="004B3927" w:rsidRDefault="00D9739A" w:rsidP="00F91485">
      <w:pPr>
        <w:pBdr>
          <w:top w:val="single" w:sz="4" w:space="1" w:color="auto"/>
          <w:left w:val="single" w:sz="4" w:space="4" w:color="auto"/>
          <w:bottom w:val="single" w:sz="4" w:space="1" w:color="auto"/>
          <w:right w:val="single" w:sz="4" w:space="4" w:color="auto"/>
        </w:pBdr>
        <w:spacing w:line="360" w:lineRule="auto"/>
        <w:rPr>
          <w:rFonts w:cs="Arial"/>
          <w:sz w:val="22"/>
        </w:rPr>
      </w:pPr>
      <w:r>
        <w:rPr>
          <w:rFonts w:cs="Arial"/>
          <w:sz w:val="22"/>
        </w:rPr>
        <w:t>The TLA Overview should</w:t>
      </w:r>
      <w:r>
        <w:rPr>
          <w:rFonts w:ascii="Segoe UI" w:hAnsi="Segoe UI" w:cs="Segoe UI"/>
          <w:color w:val="172B4D"/>
          <w:sz w:val="21"/>
          <w:szCs w:val="21"/>
          <w:shd w:val="clear" w:color="auto" w:fill="FFFFFF"/>
        </w:rPr>
        <w:t> </w:t>
      </w:r>
      <w:r w:rsidRPr="00D9739A">
        <w:rPr>
          <w:rFonts w:cs="Arial"/>
          <w:sz w:val="22"/>
        </w:rPr>
        <w:t xml:space="preserve">represent and account for the changes that will be requested through the Update cycle. It is a critically important step to complete as the TLA Overview will be sent to every student at the end of the </w:t>
      </w:r>
      <w:r w:rsidR="00512E7E">
        <w:rPr>
          <w:rFonts w:cs="Arial"/>
          <w:sz w:val="22"/>
        </w:rPr>
        <w:t>U</w:t>
      </w:r>
      <w:r w:rsidRPr="00D9739A">
        <w:rPr>
          <w:rFonts w:cs="Arial"/>
          <w:sz w:val="22"/>
        </w:rPr>
        <w:t>pdate.</w:t>
      </w:r>
      <w:r>
        <w:rPr>
          <w:rFonts w:ascii="Segoe UI" w:hAnsi="Segoe UI" w:cs="Segoe UI"/>
          <w:color w:val="172B4D"/>
          <w:sz w:val="21"/>
          <w:szCs w:val="21"/>
          <w:shd w:val="clear" w:color="auto" w:fill="FFFFFF"/>
        </w:rPr>
        <w:t xml:space="preserve"> </w:t>
      </w:r>
    </w:p>
    <w:p w14:paraId="1DB615A5" w14:textId="3B6888E5" w:rsidR="00A9165C" w:rsidRDefault="00A9165C">
      <w:pPr>
        <w:spacing w:after="200" w:line="276" w:lineRule="auto"/>
        <w:rPr>
          <w:rFonts w:cs="Arial"/>
          <w:b/>
          <w:bCs/>
          <w:sz w:val="22"/>
        </w:rPr>
      </w:pPr>
      <w:r>
        <w:rPr>
          <w:rFonts w:cs="Arial"/>
          <w:b/>
          <w:bCs/>
          <w:sz w:val="22"/>
        </w:rPr>
        <w:br w:type="page"/>
      </w:r>
    </w:p>
    <w:p w14:paraId="5FF5145B" w14:textId="7683147E" w:rsidR="00D55FCA" w:rsidRPr="00A9165C" w:rsidRDefault="00D55FCA" w:rsidP="00A9165C">
      <w:pPr>
        <w:spacing w:line="360" w:lineRule="auto"/>
        <w:rPr>
          <w:rFonts w:cs="Arial"/>
          <w:b/>
          <w:bCs/>
          <w:sz w:val="24"/>
          <w:szCs w:val="24"/>
        </w:rPr>
      </w:pPr>
      <w:r w:rsidRPr="00A9165C">
        <w:rPr>
          <w:rFonts w:cs="Arial"/>
          <w:b/>
          <w:bCs/>
          <w:sz w:val="24"/>
          <w:szCs w:val="24"/>
        </w:rPr>
        <w:lastRenderedPageBreak/>
        <w:t xml:space="preserve">Teaching, </w:t>
      </w:r>
      <w:r w:rsidR="003B4A22" w:rsidRPr="00A9165C">
        <w:rPr>
          <w:rFonts w:cs="Arial"/>
          <w:b/>
          <w:bCs/>
          <w:sz w:val="24"/>
          <w:szCs w:val="24"/>
        </w:rPr>
        <w:t>L</w:t>
      </w:r>
      <w:r w:rsidRPr="00A9165C">
        <w:rPr>
          <w:rFonts w:cs="Arial"/>
          <w:b/>
          <w:bCs/>
          <w:sz w:val="24"/>
          <w:szCs w:val="24"/>
        </w:rPr>
        <w:t xml:space="preserve">earning and </w:t>
      </w:r>
      <w:r w:rsidR="003B4A22" w:rsidRPr="00A9165C">
        <w:rPr>
          <w:rFonts w:cs="Arial"/>
          <w:b/>
          <w:bCs/>
          <w:sz w:val="24"/>
          <w:szCs w:val="24"/>
        </w:rPr>
        <w:t>A</w:t>
      </w:r>
      <w:r w:rsidRPr="00A9165C">
        <w:rPr>
          <w:rFonts w:cs="Arial"/>
          <w:b/>
          <w:bCs/>
          <w:sz w:val="24"/>
          <w:szCs w:val="24"/>
        </w:rPr>
        <w:t xml:space="preserve">ssessment </w:t>
      </w:r>
      <w:r w:rsidR="005557A3" w:rsidRPr="00A9165C">
        <w:rPr>
          <w:rFonts w:cs="Arial"/>
          <w:b/>
          <w:bCs/>
          <w:sz w:val="24"/>
          <w:szCs w:val="24"/>
        </w:rPr>
        <w:t xml:space="preserve">outline </w:t>
      </w:r>
      <w:r w:rsidRPr="00A9165C">
        <w:rPr>
          <w:rFonts w:cs="Arial"/>
          <w:b/>
          <w:bCs/>
          <w:sz w:val="24"/>
          <w:szCs w:val="24"/>
        </w:rPr>
        <w:t>structure</w:t>
      </w:r>
    </w:p>
    <w:p w14:paraId="5B646712" w14:textId="0AE12CD7" w:rsidR="00200FDE" w:rsidRPr="002243F1" w:rsidRDefault="00200FDE" w:rsidP="00A9165C">
      <w:pPr>
        <w:spacing w:line="360" w:lineRule="auto"/>
        <w:rPr>
          <w:rFonts w:cs="Arial"/>
          <w:sz w:val="14"/>
          <w:szCs w:val="14"/>
        </w:rPr>
      </w:pPr>
    </w:p>
    <w:p w14:paraId="5B75BD6F" w14:textId="6C925B18" w:rsidR="00DB3DE2" w:rsidRDefault="297E92ED" w:rsidP="00A9165C">
      <w:pPr>
        <w:spacing w:line="360" w:lineRule="auto"/>
        <w:rPr>
          <w:rFonts w:cs="Arial"/>
          <w:sz w:val="22"/>
        </w:rPr>
      </w:pPr>
      <w:r w:rsidRPr="297E92ED">
        <w:rPr>
          <w:rFonts w:cs="Arial"/>
          <w:sz w:val="22"/>
        </w:rPr>
        <w:t xml:space="preserve">The </w:t>
      </w:r>
      <w:r w:rsidR="003B4A22">
        <w:rPr>
          <w:rFonts w:cs="Arial"/>
          <w:sz w:val="22"/>
        </w:rPr>
        <w:t>T</w:t>
      </w:r>
      <w:r w:rsidRPr="297E92ED">
        <w:rPr>
          <w:rFonts w:cs="Arial"/>
          <w:sz w:val="22"/>
        </w:rPr>
        <w:t xml:space="preserve">eaching, </w:t>
      </w:r>
      <w:r w:rsidR="003B4A22">
        <w:rPr>
          <w:rFonts w:cs="Arial"/>
          <w:sz w:val="22"/>
        </w:rPr>
        <w:t>L</w:t>
      </w:r>
      <w:r w:rsidRPr="297E92ED">
        <w:rPr>
          <w:rFonts w:cs="Arial"/>
          <w:sz w:val="22"/>
        </w:rPr>
        <w:t xml:space="preserve">earning, and </w:t>
      </w:r>
      <w:r w:rsidR="003B4A22">
        <w:rPr>
          <w:rFonts w:cs="Arial"/>
          <w:sz w:val="22"/>
        </w:rPr>
        <w:t>A</w:t>
      </w:r>
      <w:r w:rsidRPr="297E92ED">
        <w:rPr>
          <w:rFonts w:cs="Arial"/>
          <w:sz w:val="22"/>
        </w:rPr>
        <w:t xml:space="preserve">ssessment </w:t>
      </w:r>
      <w:r w:rsidR="005557A3">
        <w:rPr>
          <w:rFonts w:cs="Arial"/>
          <w:sz w:val="22"/>
        </w:rPr>
        <w:t xml:space="preserve">outline </w:t>
      </w:r>
      <w:r w:rsidRPr="297E92ED">
        <w:rPr>
          <w:rFonts w:cs="Arial"/>
          <w:sz w:val="22"/>
        </w:rPr>
        <w:t xml:space="preserve">is divided into </w:t>
      </w:r>
      <w:r w:rsidR="009410EC">
        <w:rPr>
          <w:rFonts w:cs="Arial"/>
          <w:sz w:val="22"/>
        </w:rPr>
        <w:t>6</w:t>
      </w:r>
      <w:r w:rsidRPr="297E92ED">
        <w:rPr>
          <w:rFonts w:cs="Arial"/>
          <w:sz w:val="22"/>
        </w:rPr>
        <w:t xml:space="preserve"> sections</w:t>
      </w:r>
      <w:r w:rsidR="004D1E14">
        <w:rPr>
          <w:rFonts w:cs="Arial"/>
          <w:sz w:val="22"/>
        </w:rPr>
        <w:t xml:space="preserve">, </w:t>
      </w:r>
      <w:r w:rsidR="00C32173">
        <w:rPr>
          <w:rFonts w:cs="Arial"/>
          <w:sz w:val="22"/>
        </w:rPr>
        <w:t>for each level of provision – undergraduate, postgraduate taught and research</w:t>
      </w:r>
      <w:r w:rsidRPr="297E92ED">
        <w:rPr>
          <w:rFonts w:cs="Arial"/>
          <w:sz w:val="22"/>
        </w:rPr>
        <w:t>.</w:t>
      </w:r>
      <w:r w:rsidR="003B4A22">
        <w:rPr>
          <w:rFonts w:cs="Arial"/>
          <w:sz w:val="22"/>
        </w:rPr>
        <w:t xml:space="preserve"> </w:t>
      </w:r>
      <w:r w:rsidR="005557A3">
        <w:rPr>
          <w:rFonts w:cs="Arial"/>
          <w:sz w:val="22"/>
        </w:rPr>
        <w:t xml:space="preserve">It </w:t>
      </w:r>
      <w:r w:rsidR="003B4A22" w:rsidRPr="003B4A22">
        <w:rPr>
          <w:rFonts w:cs="Arial"/>
          <w:sz w:val="22"/>
        </w:rPr>
        <w:t xml:space="preserve">should detail the current year’s </w:t>
      </w:r>
      <w:r w:rsidR="005557A3">
        <w:rPr>
          <w:rFonts w:cs="Arial"/>
          <w:sz w:val="22"/>
        </w:rPr>
        <w:t>approach</w:t>
      </w:r>
      <w:r w:rsidR="003B4A22" w:rsidRPr="003B4A22">
        <w:rPr>
          <w:rFonts w:cs="Arial"/>
          <w:sz w:val="22"/>
        </w:rPr>
        <w:t xml:space="preserve"> </w:t>
      </w:r>
      <w:r w:rsidR="0047157D" w:rsidRPr="003B4A22">
        <w:rPr>
          <w:rFonts w:cs="Arial"/>
          <w:sz w:val="22"/>
        </w:rPr>
        <w:t>and</w:t>
      </w:r>
      <w:r w:rsidR="003B4A22" w:rsidRPr="003B4A22">
        <w:rPr>
          <w:rFonts w:cs="Arial"/>
          <w:sz w:val="22"/>
        </w:rPr>
        <w:t xml:space="preserve"> reflect on the department’s plans for </w:t>
      </w:r>
      <w:r w:rsidR="00F7747F">
        <w:rPr>
          <w:rFonts w:cs="Arial"/>
          <w:sz w:val="22"/>
        </w:rPr>
        <w:t>the next academic year.</w:t>
      </w:r>
    </w:p>
    <w:p w14:paraId="08E0220C" w14:textId="1986ED05" w:rsidR="002243F1" w:rsidRPr="002243F1" w:rsidRDefault="002243F1" w:rsidP="00A9165C">
      <w:pPr>
        <w:spacing w:line="360" w:lineRule="auto"/>
        <w:rPr>
          <w:rFonts w:cs="Arial"/>
          <w:sz w:val="10"/>
          <w:szCs w:val="10"/>
        </w:rPr>
      </w:pPr>
    </w:p>
    <w:p w14:paraId="683F974E" w14:textId="6DD43EF7" w:rsidR="002243F1" w:rsidRDefault="002243F1" w:rsidP="00A9165C">
      <w:pPr>
        <w:spacing w:line="360" w:lineRule="auto"/>
        <w:rPr>
          <w:rFonts w:cs="Arial"/>
          <w:sz w:val="22"/>
        </w:rPr>
      </w:pPr>
      <w:r w:rsidRPr="002243F1">
        <w:rPr>
          <w:rFonts w:cs="Arial"/>
          <w:b/>
          <w:bCs/>
          <w:sz w:val="22"/>
        </w:rPr>
        <w:t>Please note:</w:t>
      </w:r>
      <w:r w:rsidRPr="002243F1">
        <w:rPr>
          <w:rFonts w:cs="Arial"/>
          <w:sz w:val="22"/>
        </w:rPr>
        <w:t xml:space="preserve"> </w:t>
      </w:r>
      <w:r w:rsidR="002529EF" w:rsidRPr="002529EF">
        <w:rPr>
          <w:rFonts w:cs="Arial"/>
          <w:sz w:val="22"/>
        </w:rPr>
        <w:t xml:space="preserve">All departments who are due for Periodic Review during </w:t>
      </w:r>
      <w:r w:rsidR="00F7747F">
        <w:rPr>
          <w:rFonts w:cs="Arial"/>
          <w:sz w:val="22"/>
        </w:rPr>
        <w:t>the next academic year</w:t>
      </w:r>
      <w:r w:rsidR="002529EF" w:rsidRPr="002529EF">
        <w:rPr>
          <w:rFonts w:cs="Arial"/>
          <w:sz w:val="22"/>
        </w:rPr>
        <w:t xml:space="preserve"> and have not previously completed the full TLA, are required to complete all sections. All other departments must check and update their TLA via Curriculum Update as part of the annual cycle of updates each year.</w:t>
      </w:r>
    </w:p>
    <w:p w14:paraId="40A8C1F8" w14:textId="252619BE" w:rsidR="00FC15B4" w:rsidRPr="00730F2A" w:rsidRDefault="00FC15B4" w:rsidP="00A9165C">
      <w:pPr>
        <w:spacing w:line="360" w:lineRule="auto"/>
        <w:rPr>
          <w:rFonts w:cs="Arial"/>
          <w:sz w:val="10"/>
          <w:szCs w:val="10"/>
        </w:rPr>
      </w:pPr>
    </w:p>
    <w:p w14:paraId="62D2FBB3" w14:textId="06FC83AB" w:rsidR="004763C9" w:rsidRPr="0082463F" w:rsidRDefault="004763C9" w:rsidP="009437FF">
      <w:pPr>
        <w:pStyle w:val="ListParagraph"/>
        <w:numPr>
          <w:ilvl w:val="0"/>
          <w:numId w:val="9"/>
        </w:numPr>
        <w:spacing w:line="360" w:lineRule="auto"/>
        <w:ind w:left="567"/>
        <w:rPr>
          <w:rFonts w:cs="Arial"/>
          <w:b/>
          <w:bCs/>
          <w:sz w:val="22"/>
        </w:rPr>
      </w:pPr>
      <w:r>
        <w:rPr>
          <w:rFonts w:cs="Arial"/>
          <w:b/>
          <w:bCs/>
          <w:sz w:val="22"/>
        </w:rPr>
        <w:t>Teaching</w:t>
      </w:r>
      <w:r w:rsidR="005C3737">
        <w:rPr>
          <w:rFonts w:cs="Arial"/>
          <w:b/>
          <w:bCs/>
          <w:sz w:val="22"/>
        </w:rPr>
        <w:t>, l</w:t>
      </w:r>
      <w:r>
        <w:rPr>
          <w:rFonts w:cs="Arial"/>
          <w:b/>
          <w:bCs/>
          <w:sz w:val="22"/>
        </w:rPr>
        <w:t xml:space="preserve">earning </w:t>
      </w:r>
      <w:r w:rsidR="005C3737">
        <w:rPr>
          <w:rFonts w:cs="Arial"/>
          <w:b/>
          <w:bCs/>
          <w:sz w:val="22"/>
        </w:rPr>
        <w:t>and assessment o</w:t>
      </w:r>
      <w:r>
        <w:rPr>
          <w:rFonts w:cs="Arial"/>
          <w:b/>
          <w:bCs/>
          <w:sz w:val="22"/>
        </w:rPr>
        <w:t>verview</w:t>
      </w:r>
      <w:r w:rsidR="003B4A22">
        <w:rPr>
          <w:rFonts w:cs="Arial"/>
          <w:b/>
          <w:bCs/>
          <w:sz w:val="22"/>
        </w:rPr>
        <w:t xml:space="preserve"> </w:t>
      </w:r>
      <w:r w:rsidR="00F7747F">
        <w:rPr>
          <w:rFonts w:cs="Arial"/>
          <w:b/>
          <w:bCs/>
          <w:sz w:val="22"/>
        </w:rPr>
        <w:t>2025-26</w:t>
      </w:r>
    </w:p>
    <w:p w14:paraId="3396D99A" w14:textId="27DC5B94" w:rsidR="006E1ADC" w:rsidRPr="006E1ADC" w:rsidRDefault="00CD592C" w:rsidP="00A9165C">
      <w:pPr>
        <w:spacing w:line="360" w:lineRule="auto"/>
        <w:rPr>
          <w:rFonts w:cs="Arial"/>
          <w:sz w:val="22"/>
        </w:rPr>
      </w:pPr>
      <w:r w:rsidRPr="006E1ADC">
        <w:rPr>
          <w:rFonts w:cs="Arial"/>
          <w:sz w:val="22"/>
        </w:rPr>
        <w:t>B</w:t>
      </w:r>
      <w:r w:rsidR="004D57DC" w:rsidRPr="006E1ADC">
        <w:rPr>
          <w:rFonts w:cs="Arial"/>
          <w:sz w:val="22"/>
        </w:rPr>
        <w:t>rief o</w:t>
      </w:r>
      <w:r w:rsidR="00791B4F" w:rsidRPr="006E1ADC">
        <w:rPr>
          <w:rFonts w:cs="Arial"/>
          <w:sz w:val="22"/>
        </w:rPr>
        <w:t xml:space="preserve">verview </w:t>
      </w:r>
      <w:r w:rsidR="006E1ADC">
        <w:rPr>
          <w:rFonts w:cs="Arial"/>
          <w:sz w:val="22"/>
        </w:rPr>
        <w:t xml:space="preserve">for </w:t>
      </w:r>
      <w:r w:rsidR="004763C9" w:rsidRPr="006E1ADC">
        <w:rPr>
          <w:rFonts w:cs="Arial"/>
          <w:sz w:val="22"/>
        </w:rPr>
        <w:t>prospective students/current students</w:t>
      </w:r>
      <w:r w:rsidR="006E1ADC">
        <w:rPr>
          <w:rFonts w:cs="Arial"/>
          <w:sz w:val="22"/>
        </w:rPr>
        <w:t>:</w:t>
      </w:r>
    </w:p>
    <w:p w14:paraId="620CD51F" w14:textId="3B342361" w:rsidR="006E1ADC" w:rsidRPr="006E1ADC" w:rsidRDefault="006E1ADC" w:rsidP="00A9165C">
      <w:pPr>
        <w:pStyle w:val="ListParagraph"/>
        <w:numPr>
          <w:ilvl w:val="0"/>
          <w:numId w:val="10"/>
        </w:numPr>
        <w:spacing w:line="360" w:lineRule="auto"/>
        <w:ind w:left="567"/>
        <w:rPr>
          <w:rFonts w:cs="Arial"/>
          <w:sz w:val="22"/>
        </w:rPr>
      </w:pPr>
      <w:r w:rsidRPr="006E1ADC">
        <w:rPr>
          <w:rFonts w:cs="Arial"/>
          <w:sz w:val="22"/>
        </w:rPr>
        <w:t>Details about the general level of experience or status of staff involved</w:t>
      </w:r>
      <w:r>
        <w:rPr>
          <w:rFonts w:cs="Arial"/>
          <w:sz w:val="22"/>
        </w:rPr>
        <w:t xml:space="preserve"> in </w:t>
      </w:r>
      <w:r w:rsidR="00A9165C">
        <w:rPr>
          <w:rFonts w:cs="Arial"/>
          <w:sz w:val="22"/>
        </w:rPr>
        <w:t>teaching</w:t>
      </w:r>
    </w:p>
    <w:p w14:paraId="21590438" w14:textId="1E4E7A92" w:rsidR="006E1ADC" w:rsidRPr="006E1ADC" w:rsidRDefault="006E1ADC" w:rsidP="00A9165C">
      <w:pPr>
        <w:pStyle w:val="ListParagraph"/>
        <w:numPr>
          <w:ilvl w:val="0"/>
          <w:numId w:val="10"/>
        </w:numPr>
        <w:spacing w:line="360" w:lineRule="auto"/>
        <w:ind w:left="567"/>
        <w:rPr>
          <w:rFonts w:cs="Arial"/>
          <w:sz w:val="22"/>
        </w:rPr>
      </w:pPr>
      <w:r w:rsidRPr="006E1ADC">
        <w:rPr>
          <w:rFonts w:cs="Arial"/>
          <w:sz w:val="22"/>
        </w:rPr>
        <w:t xml:space="preserve">Overall methods of assessment (for example, a combination of exams, </w:t>
      </w:r>
      <w:r w:rsidR="00C32173" w:rsidRPr="006E1ADC">
        <w:rPr>
          <w:rFonts w:cs="Arial"/>
          <w:sz w:val="22"/>
        </w:rPr>
        <w:t>coursework,</w:t>
      </w:r>
      <w:r w:rsidRPr="006E1ADC">
        <w:rPr>
          <w:rFonts w:cs="Arial"/>
          <w:sz w:val="22"/>
        </w:rPr>
        <w:t xml:space="preserve"> or practical assessments)</w:t>
      </w:r>
    </w:p>
    <w:p w14:paraId="132DE924" w14:textId="563DF6DE" w:rsidR="006E1ADC" w:rsidRPr="00A9165C" w:rsidRDefault="28148390" w:rsidP="00A9165C">
      <w:pPr>
        <w:pStyle w:val="ListParagraph"/>
        <w:numPr>
          <w:ilvl w:val="0"/>
          <w:numId w:val="10"/>
        </w:numPr>
        <w:spacing w:line="360" w:lineRule="auto"/>
        <w:ind w:left="567"/>
        <w:rPr>
          <w:rFonts w:cs="Arial"/>
          <w:sz w:val="22"/>
        </w:rPr>
      </w:pPr>
      <w:r w:rsidRPr="28148390">
        <w:rPr>
          <w:rFonts w:cs="Arial"/>
          <w:sz w:val="22"/>
        </w:rPr>
        <w:t>Overall expected workload/contact hours (</w:t>
      </w:r>
      <w:r w:rsidR="00BF1EF8" w:rsidRPr="28148390">
        <w:rPr>
          <w:rFonts w:cs="Arial"/>
          <w:sz w:val="22"/>
        </w:rPr>
        <w:t>e.g.,</w:t>
      </w:r>
      <w:r w:rsidRPr="28148390">
        <w:rPr>
          <w:rFonts w:cs="Arial"/>
          <w:sz w:val="22"/>
        </w:rPr>
        <w:t xml:space="preserve"> frequency/duration of lectures and seminars) </w:t>
      </w:r>
    </w:p>
    <w:p w14:paraId="15008C5E" w14:textId="638B217F" w:rsidR="004763C9" w:rsidRDefault="0083266B" w:rsidP="00A9165C">
      <w:pPr>
        <w:spacing w:line="360" w:lineRule="auto"/>
        <w:rPr>
          <w:rFonts w:cs="Arial"/>
          <w:sz w:val="22"/>
        </w:rPr>
      </w:pPr>
      <w:r w:rsidRPr="006E1ADC">
        <w:rPr>
          <w:rFonts w:cs="Arial"/>
          <w:sz w:val="22"/>
        </w:rPr>
        <w:t>This information</w:t>
      </w:r>
      <w:r w:rsidR="003B4A22">
        <w:rPr>
          <w:rFonts w:cs="Arial"/>
          <w:sz w:val="22"/>
        </w:rPr>
        <w:t xml:space="preserve"> is core and aligns with CMA requirements. This</w:t>
      </w:r>
      <w:r w:rsidR="00CD592C" w:rsidRPr="006E1ADC">
        <w:rPr>
          <w:rFonts w:cs="Arial"/>
          <w:sz w:val="22"/>
        </w:rPr>
        <w:t xml:space="preserve"> </w:t>
      </w:r>
      <w:r w:rsidR="004763C9" w:rsidRPr="006E1ADC">
        <w:rPr>
          <w:rFonts w:cs="Arial"/>
          <w:sz w:val="22"/>
        </w:rPr>
        <w:t xml:space="preserve">will </w:t>
      </w:r>
      <w:r w:rsidR="003B4A22">
        <w:rPr>
          <w:rFonts w:cs="Arial"/>
          <w:sz w:val="22"/>
        </w:rPr>
        <w:t xml:space="preserve">be published to prospective and current students and will </w:t>
      </w:r>
      <w:r w:rsidR="004763C9" w:rsidRPr="006E1ADC">
        <w:rPr>
          <w:rFonts w:cs="Arial"/>
          <w:sz w:val="22"/>
        </w:rPr>
        <w:t>appear on Curriculum Notifications</w:t>
      </w:r>
      <w:r w:rsidR="00CD592C" w:rsidRPr="006E1ADC">
        <w:rPr>
          <w:rFonts w:cs="Arial"/>
          <w:sz w:val="22"/>
        </w:rPr>
        <w:t>.</w:t>
      </w:r>
    </w:p>
    <w:p w14:paraId="59A8756C" w14:textId="2EAD8A86" w:rsidR="006E1ADC" w:rsidRDefault="006E1ADC" w:rsidP="00A9165C">
      <w:pPr>
        <w:spacing w:line="360" w:lineRule="auto"/>
        <w:ind w:left="360"/>
        <w:rPr>
          <w:rFonts w:cs="Arial"/>
          <w:sz w:val="22"/>
        </w:rPr>
      </w:pPr>
    </w:p>
    <w:p w14:paraId="760584CD" w14:textId="142517F5" w:rsidR="00FC15B4" w:rsidRPr="00A9165C" w:rsidRDefault="00FC15B4" w:rsidP="009437FF">
      <w:pPr>
        <w:pStyle w:val="ListParagraph"/>
        <w:numPr>
          <w:ilvl w:val="0"/>
          <w:numId w:val="9"/>
        </w:numPr>
        <w:spacing w:line="360" w:lineRule="auto"/>
        <w:ind w:left="567"/>
        <w:rPr>
          <w:rFonts w:cs="Arial"/>
          <w:b/>
          <w:bCs/>
          <w:sz w:val="22"/>
        </w:rPr>
      </w:pPr>
      <w:r w:rsidRPr="00FC15B4">
        <w:rPr>
          <w:rFonts w:cs="Arial"/>
          <w:b/>
          <w:bCs/>
          <w:sz w:val="22"/>
        </w:rPr>
        <w:t xml:space="preserve">Alignment to </w:t>
      </w:r>
      <w:r w:rsidR="00791B4F">
        <w:rPr>
          <w:rFonts w:cs="Arial"/>
          <w:b/>
          <w:bCs/>
          <w:sz w:val="22"/>
        </w:rPr>
        <w:t xml:space="preserve">the </w:t>
      </w:r>
      <w:r w:rsidRPr="00FC15B4">
        <w:rPr>
          <w:rFonts w:cs="Arial"/>
          <w:b/>
          <w:bCs/>
          <w:sz w:val="22"/>
        </w:rPr>
        <w:t xml:space="preserve">University’s strategic plan </w:t>
      </w:r>
    </w:p>
    <w:p w14:paraId="74A5F949" w14:textId="644F9042" w:rsidR="00730F2A" w:rsidRPr="002B3AEB" w:rsidRDefault="00FC15B4" w:rsidP="00A9165C">
      <w:pPr>
        <w:pStyle w:val="ListParagraph"/>
        <w:numPr>
          <w:ilvl w:val="0"/>
          <w:numId w:val="5"/>
        </w:numPr>
        <w:spacing w:line="360" w:lineRule="auto"/>
        <w:ind w:left="567"/>
        <w:rPr>
          <w:rFonts w:cs="Arial"/>
          <w:sz w:val="22"/>
        </w:rPr>
      </w:pPr>
      <w:r>
        <w:rPr>
          <w:rFonts w:cs="Arial"/>
          <w:sz w:val="22"/>
        </w:rPr>
        <w:t>An</w:t>
      </w:r>
      <w:r w:rsidR="0083266B">
        <w:rPr>
          <w:rFonts w:cs="Arial"/>
          <w:sz w:val="22"/>
        </w:rPr>
        <w:t xml:space="preserve"> </w:t>
      </w:r>
      <w:r>
        <w:rPr>
          <w:rFonts w:cs="Arial"/>
          <w:sz w:val="22"/>
        </w:rPr>
        <w:t>overview o</w:t>
      </w:r>
      <w:r w:rsidR="004F6918">
        <w:rPr>
          <w:rFonts w:cs="Arial"/>
          <w:sz w:val="22"/>
        </w:rPr>
        <w:t>f</w:t>
      </w:r>
      <w:r>
        <w:rPr>
          <w:rFonts w:cs="Arial"/>
          <w:sz w:val="22"/>
        </w:rPr>
        <w:t xml:space="preserve"> how</w:t>
      </w:r>
      <w:r w:rsidRPr="00DB3DE2">
        <w:rPr>
          <w:rFonts w:cs="Arial"/>
          <w:sz w:val="22"/>
        </w:rPr>
        <w:t xml:space="preserve"> teaching, learning and assessment align and continue to take due regards to the University’s strategic plan and its supporting Education and Research Strategies and sub-strategies (</w:t>
      </w:r>
      <w:r>
        <w:rPr>
          <w:rFonts w:cs="Arial"/>
          <w:sz w:val="22"/>
        </w:rPr>
        <w:t xml:space="preserve">for example, </w:t>
      </w:r>
      <w:r w:rsidRPr="00DB3DE2">
        <w:rPr>
          <w:rFonts w:cs="Arial"/>
          <w:sz w:val="22"/>
        </w:rPr>
        <w:t>equality, diversity and inclusivity</w:t>
      </w:r>
      <w:r>
        <w:rPr>
          <w:rFonts w:cs="Arial"/>
          <w:sz w:val="22"/>
        </w:rPr>
        <w:t xml:space="preserve">, </w:t>
      </w:r>
      <w:r w:rsidRPr="003F5D30">
        <w:rPr>
          <w:rFonts w:cs="Arial"/>
          <w:sz w:val="22"/>
        </w:rPr>
        <w:t>environmental</w:t>
      </w:r>
      <w:r w:rsidR="00C958D8" w:rsidRPr="003F5D30">
        <w:rPr>
          <w:rFonts w:cs="Arial"/>
          <w:sz w:val="22"/>
        </w:rPr>
        <w:t>/sustainability</w:t>
      </w:r>
      <w:r w:rsidRPr="00DB3DE2">
        <w:rPr>
          <w:rFonts w:cs="Arial"/>
          <w:sz w:val="22"/>
        </w:rPr>
        <w:t xml:space="preserve"> considerations</w:t>
      </w:r>
      <w:r>
        <w:rPr>
          <w:rFonts w:cs="Arial"/>
          <w:sz w:val="22"/>
        </w:rPr>
        <w:t>, research skills, and collaborative work</w:t>
      </w:r>
      <w:r w:rsidR="00C958D8">
        <w:rPr>
          <w:rFonts w:cs="Arial"/>
          <w:sz w:val="22"/>
        </w:rPr>
        <w:t xml:space="preserve">, </w:t>
      </w:r>
      <w:r w:rsidR="00C958D8" w:rsidRPr="00DB3DE2">
        <w:rPr>
          <w:rFonts w:cs="Arial"/>
          <w:sz w:val="22"/>
        </w:rPr>
        <w:t>use of learning technology</w:t>
      </w:r>
      <w:r w:rsidRPr="00DB3DE2">
        <w:rPr>
          <w:rFonts w:cs="Arial"/>
          <w:sz w:val="22"/>
        </w:rPr>
        <w:t>)</w:t>
      </w:r>
      <w:r>
        <w:rPr>
          <w:rFonts w:cs="Arial"/>
          <w:sz w:val="22"/>
        </w:rPr>
        <w:t>.</w:t>
      </w:r>
      <w:r w:rsidR="000814D4">
        <w:rPr>
          <w:rFonts w:cs="Arial"/>
          <w:sz w:val="22"/>
        </w:rPr>
        <w:t xml:space="preserve"> </w:t>
      </w:r>
    </w:p>
    <w:p w14:paraId="30683180" w14:textId="77777777" w:rsidR="00730F2A" w:rsidRPr="00730F2A" w:rsidRDefault="00730F2A" w:rsidP="00A9165C">
      <w:pPr>
        <w:pBdr>
          <w:top w:val="single" w:sz="4" w:space="1" w:color="auto"/>
          <w:left w:val="single" w:sz="4" w:space="4" w:color="auto"/>
          <w:bottom w:val="single" w:sz="4" w:space="1" w:color="auto"/>
          <w:right w:val="single" w:sz="4" w:space="4" w:color="auto"/>
        </w:pBdr>
        <w:spacing w:line="360" w:lineRule="auto"/>
        <w:ind w:left="142"/>
        <w:rPr>
          <w:rFonts w:cs="Arial"/>
          <w:i/>
          <w:iCs/>
          <w:sz w:val="22"/>
        </w:rPr>
      </w:pPr>
      <w:r w:rsidRPr="00730F2A">
        <w:rPr>
          <w:rFonts w:cs="Arial"/>
          <w:sz w:val="22"/>
        </w:rPr>
        <w:t>Strategic objective:</w:t>
      </w:r>
      <w:r w:rsidRPr="00730F2A">
        <w:rPr>
          <w:rFonts w:cs="Arial"/>
          <w:i/>
          <w:iCs/>
          <w:sz w:val="22"/>
        </w:rPr>
        <w:t xml:space="preserve"> To deliver consistent education excellence in the rapidly evolving digital world of the 21st century by reviewing our use of learning technology, focused on the need to integrate with and complement our curriculum and the development of our learning and teaching spaces.</w:t>
      </w:r>
    </w:p>
    <w:p w14:paraId="283FCDED" w14:textId="77777777" w:rsidR="00730F2A" w:rsidRPr="00730F2A" w:rsidRDefault="00730F2A" w:rsidP="00A9165C">
      <w:pPr>
        <w:spacing w:line="360" w:lineRule="auto"/>
        <w:ind w:left="142" w:firstLine="142"/>
        <w:rPr>
          <w:rFonts w:cs="Arial"/>
          <w:b/>
          <w:bCs/>
          <w:sz w:val="22"/>
        </w:rPr>
      </w:pPr>
    </w:p>
    <w:p w14:paraId="32CBB495" w14:textId="77777777" w:rsidR="00730F2A" w:rsidRPr="00730F2A" w:rsidRDefault="00730F2A" w:rsidP="00A9165C">
      <w:pPr>
        <w:pStyle w:val="ListParagraph"/>
        <w:pBdr>
          <w:top w:val="single" w:sz="4" w:space="1" w:color="auto"/>
          <w:left w:val="single" w:sz="4" w:space="4" w:color="auto"/>
          <w:bottom w:val="single" w:sz="4" w:space="1" w:color="auto"/>
          <w:right w:val="single" w:sz="4" w:space="4" w:color="auto"/>
        </w:pBdr>
        <w:spacing w:line="360" w:lineRule="auto"/>
        <w:ind w:left="142"/>
        <w:rPr>
          <w:rFonts w:cs="Arial"/>
          <w:i/>
          <w:iCs/>
          <w:sz w:val="22"/>
        </w:rPr>
      </w:pPr>
      <w:r w:rsidRPr="00730F2A">
        <w:rPr>
          <w:rFonts w:cs="Arial"/>
          <w:i/>
          <w:iCs/>
          <w:sz w:val="22"/>
        </w:rPr>
        <w:t>Strategic objective: To deliver a transformational education by encouraging impactful and innovative approaches, using learning from research (including pedagogical research) and national and international experiences, facilitating the meaningful dissemination and adoption of good and best practice.</w:t>
      </w:r>
    </w:p>
    <w:p w14:paraId="513651FF" w14:textId="2BF47CBA" w:rsidR="00730F2A" w:rsidRPr="00730F2A" w:rsidRDefault="00730F2A" w:rsidP="00A9165C">
      <w:pPr>
        <w:spacing w:line="360" w:lineRule="auto"/>
        <w:ind w:left="142"/>
        <w:rPr>
          <w:rFonts w:cs="Arial"/>
          <w:sz w:val="22"/>
        </w:rPr>
      </w:pPr>
    </w:p>
    <w:p w14:paraId="13290DE4" w14:textId="77777777" w:rsidR="00730F2A" w:rsidRPr="00730F2A" w:rsidRDefault="00730F2A" w:rsidP="00A9165C">
      <w:pPr>
        <w:pBdr>
          <w:top w:val="single" w:sz="4" w:space="1" w:color="auto"/>
          <w:left w:val="single" w:sz="4" w:space="4" w:color="auto"/>
          <w:bottom w:val="single" w:sz="4" w:space="1" w:color="auto"/>
          <w:right w:val="single" w:sz="4" w:space="4" w:color="auto"/>
        </w:pBdr>
        <w:spacing w:line="360" w:lineRule="auto"/>
        <w:ind w:left="142"/>
        <w:rPr>
          <w:rFonts w:cs="Arial"/>
          <w:sz w:val="22"/>
        </w:rPr>
      </w:pPr>
      <w:r w:rsidRPr="00730F2A">
        <w:rPr>
          <w:rFonts w:cs="Arial"/>
          <w:sz w:val="22"/>
        </w:rPr>
        <w:t xml:space="preserve">Strategic objective: </w:t>
      </w:r>
      <w:r w:rsidRPr="00730F2A">
        <w:rPr>
          <w:rFonts w:cs="Arial"/>
          <w:i/>
          <w:iCs/>
          <w:sz w:val="22"/>
        </w:rPr>
        <w:t>To foster our learning community and a sense of belonging by developing our curriculum and assessment methods to include activities based around shared ownership, group activity and collaborative work.</w:t>
      </w:r>
    </w:p>
    <w:p w14:paraId="6B2CDC48" w14:textId="330B9A1D" w:rsidR="00730F2A" w:rsidRDefault="00730F2A" w:rsidP="00A9165C">
      <w:pPr>
        <w:spacing w:line="360" w:lineRule="auto"/>
        <w:ind w:left="142"/>
        <w:rPr>
          <w:rFonts w:cs="Arial"/>
          <w:sz w:val="22"/>
        </w:rPr>
      </w:pPr>
    </w:p>
    <w:p w14:paraId="7D405F66" w14:textId="77777777" w:rsidR="00730F2A" w:rsidRPr="000814D4" w:rsidRDefault="00730F2A" w:rsidP="00A9165C">
      <w:pPr>
        <w:pBdr>
          <w:top w:val="single" w:sz="4" w:space="1" w:color="auto"/>
          <w:left w:val="single" w:sz="4" w:space="4" w:color="auto"/>
          <w:bottom w:val="single" w:sz="4" w:space="1" w:color="auto"/>
          <w:right w:val="single" w:sz="4" w:space="4" w:color="auto"/>
        </w:pBdr>
        <w:spacing w:line="360" w:lineRule="auto"/>
        <w:ind w:left="142"/>
        <w:rPr>
          <w:rFonts w:cs="Arial"/>
          <w:i/>
          <w:iCs/>
          <w:sz w:val="22"/>
        </w:rPr>
      </w:pPr>
      <w:r>
        <w:rPr>
          <w:rFonts w:cs="Arial"/>
          <w:sz w:val="22"/>
        </w:rPr>
        <w:t xml:space="preserve">Strategic objective: </w:t>
      </w:r>
      <w:r w:rsidRPr="000814D4">
        <w:rPr>
          <w:rFonts w:cs="Arial"/>
          <w:i/>
          <w:iCs/>
          <w:sz w:val="22"/>
        </w:rPr>
        <w:t>To deliver our commitment to supporting every student from every background to achieve success, enabling equality of opportunity across sexual orientation, ethnicity, age, disability, gender assignment, religion, and socio-economic group.</w:t>
      </w:r>
    </w:p>
    <w:p w14:paraId="2998C417" w14:textId="77777777" w:rsidR="00730F2A" w:rsidRDefault="00730F2A" w:rsidP="00A9165C">
      <w:pPr>
        <w:spacing w:line="360" w:lineRule="auto"/>
        <w:ind w:left="142"/>
        <w:rPr>
          <w:rFonts w:cs="Arial"/>
          <w:sz w:val="22"/>
        </w:rPr>
      </w:pPr>
    </w:p>
    <w:p w14:paraId="64A77FE5" w14:textId="77777777" w:rsidR="00730F2A" w:rsidRPr="000820A2" w:rsidRDefault="00730F2A" w:rsidP="00A9165C">
      <w:pPr>
        <w:pBdr>
          <w:top w:val="single" w:sz="4" w:space="1" w:color="auto"/>
          <w:left w:val="single" w:sz="4" w:space="4" w:color="auto"/>
          <w:bottom w:val="single" w:sz="4" w:space="1" w:color="auto"/>
          <w:right w:val="single" w:sz="4" w:space="4" w:color="auto"/>
        </w:pBdr>
        <w:spacing w:line="360" w:lineRule="auto"/>
        <w:ind w:left="142"/>
        <w:rPr>
          <w:rFonts w:cs="Arial"/>
          <w:i/>
          <w:iCs/>
          <w:sz w:val="22"/>
        </w:rPr>
      </w:pPr>
      <w:r>
        <w:rPr>
          <w:rFonts w:cs="Arial"/>
          <w:sz w:val="22"/>
        </w:rPr>
        <w:t xml:space="preserve">Strategic objective: </w:t>
      </w:r>
      <w:r w:rsidRPr="000820A2">
        <w:rPr>
          <w:rFonts w:cs="Arial"/>
          <w:i/>
          <w:iCs/>
          <w:sz w:val="22"/>
        </w:rPr>
        <w:t>To enable all our students to articulate and apply their research skills during and beyond their studies by reviewing and developing our curricula to incorporate a clearly articulated developmental trajectory for research skills across all courses and levels, which is explicit and visible to students.</w:t>
      </w:r>
    </w:p>
    <w:p w14:paraId="65C64677" w14:textId="77777777" w:rsidR="00BF1EF8" w:rsidRPr="00BF1EF8" w:rsidRDefault="00BF1EF8" w:rsidP="00A9165C">
      <w:pPr>
        <w:spacing w:line="360" w:lineRule="auto"/>
        <w:rPr>
          <w:rFonts w:cs="Arial"/>
          <w:b/>
          <w:bCs/>
          <w:sz w:val="22"/>
        </w:rPr>
      </w:pPr>
    </w:p>
    <w:p w14:paraId="61AC40BB" w14:textId="4B3C5CF0" w:rsidR="00DB3DE2" w:rsidRPr="00730F2A" w:rsidRDefault="00582C83" w:rsidP="001325AB">
      <w:pPr>
        <w:pStyle w:val="ListParagraph"/>
        <w:numPr>
          <w:ilvl w:val="0"/>
          <w:numId w:val="6"/>
        </w:numPr>
        <w:spacing w:line="360" w:lineRule="auto"/>
        <w:ind w:left="567"/>
        <w:rPr>
          <w:rFonts w:cs="Arial"/>
          <w:b/>
          <w:bCs/>
          <w:sz w:val="22"/>
        </w:rPr>
      </w:pPr>
      <w:r w:rsidRPr="00730F2A">
        <w:rPr>
          <w:rFonts w:cs="Arial"/>
          <w:b/>
          <w:bCs/>
          <w:sz w:val="22"/>
        </w:rPr>
        <w:t>Teaching and learning</w:t>
      </w:r>
    </w:p>
    <w:p w14:paraId="2669DE85" w14:textId="77777777" w:rsidR="004D1E14" w:rsidRPr="00730F2A" w:rsidRDefault="004D1E14" w:rsidP="00A9165C">
      <w:pPr>
        <w:spacing w:line="360" w:lineRule="auto"/>
        <w:rPr>
          <w:rFonts w:cs="Arial"/>
          <w:b/>
          <w:bCs/>
          <w:sz w:val="10"/>
          <w:szCs w:val="10"/>
        </w:rPr>
      </w:pPr>
    </w:p>
    <w:p w14:paraId="282F0D59" w14:textId="1E4851D3" w:rsidR="00AB2939" w:rsidRPr="00A9165C" w:rsidRDefault="00072613" w:rsidP="00A9165C">
      <w:pPr>
        <w:pStyle w:val="ListParagraph"/>
        <w:numPr>
          <w:ilvl w:val="1"/>
          <w:numId w:val="6"/>
        </w:numPr>
        <w:spacing w:line="360" w:lineRule="auto"/>
        <w:ind w:left="567"/>
        <w:rPr>
          <w:rFonts w:cs="Arial"/>
          <w:sz w:val="22"/>
        </w:rPr>
      </w:pPr>
      <w:r>
        <w:rPr>
          <w:rFonts w:cs="Arial"/>
          <w:sz w:val="22"/>
        </w:rPr>
        <w:t>F</w:t>
      </w:r>
      <w:r w:rsidR="00582C83" w:rsidRPr="00A467B7">
        <w:rPr>
          <w:rFonts w:cs="Arial"/>
          <w:sz w:val="22"/>
        </w:rPr>
        <w:t>acilities and resources</w:t>
      </w:r>
      <w:r w:rsidR="00B61580" w:rsidRPr="00A467B7">
        <w:rPr>
          <w:rFonts w:cs="Arial"/>
          <w:sz w:val="22"/>
        </w:rPr>
        <w:t>,</w:t>
      </w:r>
      <w:r w:rsidR="007E4B55" w:rsidRPr="00A467B7">
        <w:rPr>
          <w:rFonts w:cs="Arial"/>
          <w:sz w:val="22"/>
        </w:rPr>
        <w:t xml:space="preserve"> </w:t>
      </w:r>
      <w:r w:rsidR="00B61580" w:rsidRPr="00A467B7">
        <w:rPr>
          <w:rFonts w:cs="Arial"/>
          <w:sz w:val="22"/>
        </w:rPr>
        <w:t>which should include</w:t>
      </w:r>
      <w:r w:rsidR="00582C83" w:rsidRPr="00A467B7">
        <w:rPr>
          <w:rFonts w:cs="Arial"/>
          <w:sz w:val="22"/>
        </w:rPr>
        <w:t>:</w:t>
      </w:r>
    </w:p>
    <w:p w14:paraId="1C11B87C" w14:textId="708EC6D8" w:rsidR="000814D4" w:rsidRPr="00A9165C" w:rsidRDefault="00A467B7" w:rsidP="00A9165C">
      <w:pPr>
        <w:pStyle w:val="ListParagraph"/>
        <w:numPr>
          <w:ilvl w:val="0"/>
          <w:numId w:val="1"/>
        </w:numPr>
        <w:spacing w:line="360" w:lineRule="auto"/>
        <w:ind w:left="567"/>
        <w:rPr>
          <w:rFonts w:cs="Arial"/>
          <w:sz w:val="22"/>
        </w:rPr>
      </w:pPr>
      <w:r w:rsidRPr="00DB3DE2">
        <w:rPr>
          <w:rFonts w:cs="Arial"/>
          <w:sz w:val="22"/>
        </w:rPr>
        <w:t xml:space="preserve">A description of the learning and teaching accommodation provided, </w:t>
      </w:r>
      <w:r w:rsidR="003F5D30">
        <w:rPr>
          <w:rFonts w:cs="Arial"/>
          <w:sz w:val="22"/>
        </w:rPr>
        <w:t>including</w:t>
      </w:r>
      <w:r w:rsidRPr="00DB3DE2">
        <w:rPr>
          <w:rFonts w:cs="Arial"/>
          <w:sz w:val="22"/>
        </w:rPr>
        <w:t xml:space="preserve"> the facilities available to research students</w:t>
      </w:r>
      <w:r w:rsidR="0068033A">
        <w:rPr>
          <w:rFonts w:cs="Arial"/>
          <w:sz w:val="22"/>
        </w:rPr>
        <w:t xml:space="preserve"> and apprentices</w:t>
      </w:r>
      <w:r w:rsidRPr="00DB3DE2">
        <w:rPr>
          <w:rFonts w:cs="Arial"/>
          <w:sz w:val="22"/>
        </w:rPr>
        <w:t xml:space="preserve"> (</w:t>
      </w:r>
      <w:r w:rsidR="00BF1EF8" w:rsidRPr="00DB3DE2">
        <w:rPr>
          <w:rFonts w:cs="Arial"/>
          <w:sz w:val="22"/>
        </w:rPr>
        <w:t>e.g.,</w:t>
      </w:r>
      <w:r w:rsidRPr="00DB3DE2">
        <w:rPr>
          <w:rFonts w:cs="Arial"/>
          <w:sz w:val="22"/>
        </w:rPr>
        <w:t xml:space="preserve"> office space, equipment, common room).</w:t>
      </w:r>
    </w:p>
    <w:p w14:paraId="03E66437" w14:textId="43A9E945" w:rsidR="000814D4" w:rsidRPr="00A9165C" w:rsidRDefault="36E70A7B" w:rsidP="00A9165C">
      <w:pPr>
        <w:pStyle w:val="ListParagraph"/>
        <w:numPr>
          <w:ilvl w:val="0"/>
          <w:numId w:val="1"/>
        </w:numPr>
        <w:spacing w:line="360" w:lineRule="auto"/>
        <w:ind w:left="567"/>
        <w:rPr>
          <w:rFonts w:cs="Arial"/>
          <w:sz w:val="22"/>
        </w:rPr>
      </w:pPr>
      <w:r w:rsidRPr="36E70A7B">
        <w:rPr>
          <w:rFonts w:cs="Arial"/>
          <w:sz w:val="22"/>
        </w:rPr>
        <w:t>A brief summary of the types of learning materials available to students (</w:t>
      </w:r>
      <w:r w:rsidR="00BF1EF8" w:rsidRPr="36E70A7B">
        <w:rPr>
          <w:rFonts w:cs="Arial"/>
          <w:sz w:val="22"/>
        </w:rPr>
        <w:t>e.g.,</w:t>
      </w:r>
      <w:r w:rsidRPr="36E70A7B">
        <w:rPr>
          <w:rFonts w:cs="Arial"/>
          <w:sz w:val="22"/>
        </w:rPr>
        <w:t xml:space="preserve"> library resources, reading lists; hard copy or web-based learning materials, VLE and IT facilities), and what information students are provided with.</w:t>
      </w:r>
    </w:p>
    <w:p w14:paraId="11F1D989" w14:textId="2DC90CE5" w:rsidR="00C54D20" w:rsidRPr="00A9165C" w:rsidRDefault="00A467B7" w:rsidP="00A9165C">
      <w:pPr>
        <w:pStyle w:val="ListParagraph"/>
        <w:numPr>
          <w:ilvl w:val="0"/>
          <w:numId w:val="1"/>
        </w:numPr>
        <w:spacing w:line="360" w:lineRule="auto"/>
        <w:ind w:left="567"/>
        <w:rPr>
          <w:rFonts w:cs="Arial"/>
          <w:sz w:val="22"/>
        </w:rPr>
      </w:pPr>
      <w:r w:rsidRPr="00DB3DE2">
        <w:rPr>
          <w:rFonts w:cs="Arial"/>
          <w:sz w:val="22"/>
        </w:rPr>
        <w:t xml:space="preserve">Information on how the department ensures that equipment, materials, and accommodation provided for learning </w:t>
      </w:r>
      <w:r w:rsidR="008C6F6C">
        <w:rPr>
          <w:rFonts w:cs="Arial"/>
          <w:sz w:val="22"/>
        </w:rPr>
        <w:t xml:space="preserve">are current, </w:t>
      </w:r>
      <w:r w:rsidRPr="00DB3DE2">
        <w:rPr>
          <w:rFonts w:cs="Arial"/>
          <w:sz w:val="22"/>
        </w:rPr>
        <w:t>are maintained in a safe condition and are fully accessible.</w:t>
      </w:r>
    </w:p>
    <w:p w14:paraId="1BE0F530" w14:textId="3AC386EC" w:rsidR="00911A09" w:rsidRPr="0082463F" w:rsidRDefault="00C54D20" w:rsidP="00A9165C">
      <w:pPr>
        <w:pStyle w:val="ListParagraph"/>
        <w:numPr>
          <w:ilvl w:val="0"/>
          <w:numId w:val="1"/>
        </w:numPr>
        <w:spacing w:line="360" w:lineRule="auto"/>
        <w:ind w:left="567"/>
        <w:rPr>
          <w:rFonts w:cs="Arial"/>
          <w:sz w:val="22"/>
        </w:rPr>
      </w:pPr>
      <w:r w:rsidRPr="00C54D20">
        <w:rPr>
          <w:rFonts w:cs="Arial"/>
          <w:sz w:val="22"/>
        </w:rPr>
        <w:t>Where there are health and safety risks associated with the learning activity, how d</w:t>
      </w:r>
      <w:r w:rsidR="008C6F6C">
        <w:rPr>
          <w:rFonts w:cs="Arial"/>
          <w:sz w:val="22"/>
        </w:rPr>
        <w:t>epartments</w:t>
      </w:r>
      <w:r w:rsidRPr="00C54D20">
        <w:rPr>
          <w:rFonts w:cs="Arial"/>
          <w:sz w:val="22"/>
        </w:rPr>
        <w:t xml:space="preserve"> </w:t>
      </w:r>
      <w:r w:rsidR="00747A31">
        <w:rPr>
          <w:rFonts w:cs="Arial"/>
          <w:sz w:val="22"/>
        </w:rPr>
        <w:t>ensure</w:t>
      </w:r>
      <w:r w:rsidRPr="00C54D20">
        <w:rPr>
          <w:rFonts w:cs="Arial"/>
          <w:sz w:val="22"/>
        </w:rPr>
        <w:t xml:space="preserve"> staff</w:t>
      </w:r>
      <w:r w:rsidR="0030002F">
        <w:rPr>
          <w:rFonts w:cs="Arial"/>
          <w:sz w:val="22"/>
        </w:rPr>
        <w:t>, students</w:t>
      </w:r>
      <w:r w:rsidRPr="00C54D20">
        <w:rPr>
          <w:rFonts w:cs="Arial"/>
          <w:sz w:val="22"/>
        </w:rPr>
        <w:t xml:space="preserve"> and external providers </w:t>
      </w:r>
      <w:r w:rsidR="00636F8B">
        <w:rPr>
          <w:rFonts w:cs="Arial"/>
          <w:sz w:val="22"/>
        </w:rPr>
        <w:t>understand their responsibilities and receive</w:t>
      </w:r>
      <w:r w:rsidRPr="00C54D20">
        <w:rPr>
          <w:rFonts w:cs="Arial"/>
          <w:sz w:val="22"/>
        </w:rPr>
        <w:t xml:space="preserve"> suitable information, instruction, and </w:t>
      </w:r>
      <w:r w:rsidR="00347851" w:rsidRPr="00C54D20">
        <w:rPr>
          <w:rFonts w:cs="Arial"/>
          <w:sz w:val="22"/>
        </w:rPr>
        <w:t>training</w:t>
      </w:r>
      <w:r w:rsidR="00347851">
        <w:rPr>
          <w:rFonts w:cs="Arial"/>
          <w:sz w:val="22"/>
        </w:rPr>
        <w:t xml:space="preserve">; </w:t>
      </w:r>
      <w:r w:rsidR="00747A31">
        <w:rPr>
          <w:rFonts w:cs="Arial"/>
          <w:sz w:val="22"/>
        </w:rPr>
        <w:t>including</w:t>
      </w:r>
      <w:r w:rsidR="008C6F6C">
        <w:rPr>
          <w:rFonts w:cs="Arial"/>
          <w:sz w:val="22"/>
        </w:rPr>
        <w:t xml:space="preserve"> information about w</w:t>
      </w:r>
      <w:r w:rsidRPr="00C54D20">
        <w:rPr>
          <w:rFonts w:cs="Arial"/>
          <w:sz w:val="22"/>
        </w:rPr>
        <w:t>hat records are kept</w:t>
      </w:r>
      <w:r w:rsidR="00DF606C">
        <w:rPr>
          <w:rFonts w:cs="Arial"/>
          <w:sz w:val="22"/>
        </w:rPr>
        <w:t>.</w:t>
      </w:r>
      <w:r w:rsidR="00636F8B">
        <w:rPr>
          <w:rFonts w:cs="Arial"/>
          <w:sz w:val="22"/>
        </w:rPr>
        <w:t xml:space="preserve"> This should include reference to work-based learning and how the University’s health and safety standards for work placements are met.</w:t>
      </w:r>
    </w:p>
    <w:p w14:paraId="69AFB6DD" w14:textId="4497B6D8" w:rsidR="00582C83" w:rsidRPr="00A9165C" w:rsidRDefault="00072613" w:rsidP="00316C1D">
      <w:pPr>
        <w:pStyle w:val="ListParagraph"/>
        <w:numPr>
          <w:ilvl w:val="1"/>
          <w:numId w:val="6"/>
        </w:numPr>
        <w:spacing w:line="360" w:lineRule="auto"/>
        <w:ind w:left="567"/>
        <w:rPr>
          <w:rFonts w:cs="Arial"/>
          <w:sz w:val="22"/>
        </w:rPr>
      </w:pPr>
      <w:r>
        <w:rPr>
          <w:rFonts w:cs="Arial"/>
          <w:sz w:val="22"/>
        </w:rPr>
        <w:t>T</w:t>
      </w:r>
      <w:r w:rsidR="00DE7BBF" w:rsidRPr="00DE7BBF">
        <w:rPr>
          <w:rFonts w:cs="Arial"/>
          <w:sz w:val="22"/>
        </w:rPr>
        <w:t>eaching and learning approach, which should include:</w:t>
      </w:r>
    </w:p>
    <w:p w14:paraId="1E2CF067" w14:textId="22F0D92D" w:rsidR="0083266B" w:rsidRPr="00A9165C" w:rsidRDefault="00D14549" w:rsidP="002B3AEB">
      <w:pPr>
        <w:pStyle w:val="ListParagraph"/>
        <w:numPr>
          <w:ilvl w:val="0"/>
          <w:numId w:val="2"/>
        </w:numPr>
        <w:spacing w:line="360" w:lineRule="auto"/>
        <w:ind w:left="567"/>
        <w:rPr>
          <w:rFonts w:cs="Arial"/>
          <w:sz w:val="22"/>
        </w:rPr>
      </w:pPr>
      <w:r w:rsidRPr="00DB3DE2">
        <w:rPr>
          <w:rFonts w:cs="Arial"/>
          <w:sz w:val="22"/>
        </w:rPr>
        <w:lastRenderedPageBreak/>
        <w:t>A summary of</w:t>
      </w:r>
      <w:r w:rsidR="00051B9C" w:rsidRPr="00DB3DE2">
        <w:rPr>
          <w:rFonts w:cs="Arial"/>
          <w:sz w:val="22"/>
        </w:rPr>
        <w:t xml:space="preserve"> the</w:t>
      </w:r>
      <w:r w:rsidR="009C3A71">
        <w:rPr>
          <w:rFonts w:cs="Arial"/>
          <w:sz w:val="22"/>
        </w:rPr>
        <w:t xml:space="preserve"> current</w:t>
      </w:r>
      <w:r w:rsidR="00051B9C" w:rsidRPr="00DB3DE2">
        <w:rPr>
          <w:rFonts w:cs="Arial"/>
          <w:sz w:val="22"/>
        </w:rPr>
        <w:t xml:space="preserve"> teaching and learning methods for each level of provision </w:t>
      </w:r>
      <w:r w:rsidRPr="00DB3DE2">
        <w:rPr>
          <w:rFonts w:cs="Arial"/>
          <w:sz w:val="22"/>
        </w:rPr>
        <w:t>(</w:t>
      </w:r>
      <w:r w:rsidR="00BF1EF8" w:rsidRPr="00DB3DE2">
        <w:rPr>
          <w:rFonts w:cs="Arial"/>
          <w:sz w:val="22"/>
        </w:rPr>
        <w:t>e.g.,</w:t>
      </w:r>
      <w:r w:rsidR="00051B9C" w:rsidRPr="00DB3DE2">
        <w:rPr>
          <w:rFonts w:cs="Arial"/>
          <w:sz w:val="22"/>
        </w:rPr>
        <w:t xml:space="preserve"> seminars/lecture format, workshops/discussion groups</w:t>
      </w:r>
      <w:r w:rsidR="003F5D30">
        <w:rPr>
          <w:rFonts w:cs="Arial"/>
          <w:sz w:val="22"/>
        </w:rPr>
        <w:t xml:space="preserve">, online </w:t>
      </w:r>
      <w:r w:rsidR="00F3752D">
        <w:rPr>
          <w:rFonts w:cs="Arial"/>
          <w:sz w:val="22"/>
        </w:rPr>
        <w:t>/</w:t>
      </w:r>
      <w:r w:rsidR="003F5D30">
        <w:rPr>
          <w:rFonts w:cs="Arial"/>
          <w:sz w:val="22"/>
        </w:rPr>
        <w:t xml:space="preserve"> face-to-face</w:t>
      </w:r>
      <w:r w:rsidR="00F3752D">
        <w:rPr>
          <w:rFonts w:cs="Arial"/>
          <w:sz w:val="22"/>
        </w:rPr>
        <w:t xml:space="preserve"> delivery</w:t>
      </w:r>
      <w:r w:rsidRPr="00DB3DE2">
        <w:rPr>
          <w:rFonts w:cs="Arial"/>
          <w:sz w:val="22"/>
        </w:rPr>
        <w:t>)</w:t>
      </w:r>
      <w:r w:rsidR="00051B9C" w:rsidRPr="00DB3DE2">
        <w:rPr>
          <w:rFonts w:cs="Arial"/>
          <w:sz w:val="22"/>
        </w:rPr>
        <w:t>.</w:t>
      </w:r>
    </w:p>
    <w:p w14:paraId="7A4D40BF" w14:textId="4F9C3387" w:rsidR="00C32173" w:rsidRPr="00A9165C" w:rsidRDefault="00D14549" w:rsidP="002B3AEB">
      <w:pPr>
        <w:pStyle w:val="ListParagraph"/>
        <w:numPr>
          <w:ilvl w:val="0"/>
          <w:numId w:val="2"/>
        </w:numPr>
        <w:spacing w:line="360" w:lineRule="auto"/>
        <w:ind w:left="567"/>
        <w:rPr>
          <w:rFonts w:cs="Arial"/>
          <w:sz w:val="22"/>
        </w:rPr>
      </w:pPr>
      <w:r w:rsidRPr="002810D5">
        <w:rPr>
          <w:rFonts w:cs="Arial"/>
          <w:sz w:val="22"/>
        </w:rPr>
        <w:t>Information on h</w:t>
      </w:r>
      <w:r w:rsidR="00582C83" w:rsidRPr="002810D5">
        <w:rPr>
          <w:rFonts w:cs="Arial"/>
          <w:sz w:val="22"/>
        </w:rPr>
        <w:t>ow the teaching and learning methods enable students to achieve the intended learning outcomes</w:t>
      </w:r>
      <w:r w:rsidRPr="002810D5">
        <w:rPr>
          <w:rFonts w:cs="Arial"/>
          <w:sz w:val="22"/>
        </w:rPr>
        <w:t>.</w:t>
      </w:r>
    </w:p>
    <w:p w14:paraId="3F4288E5" w14:textId="60967124" w:rsidR="00420543" w:rsidRPr="00A9165C" w:rsidRDefault="00C32173" w:rsidP="002B3AEB">
      <w:pPr>
        <w:pStyle w:val="ListParagraph"/>
        <w:numPr>
          <w:ilvl w:val="0"/>
          <w:numId w:val="2"/>
        </w:numPr>
        <w:spacing w:line="360" w:lineRule="auto"/>
        <w:ind w:left="567"/>
        <w:rPr>
          <w:rFonts w:cs="Arial"/>
          <w:sz w:val="22"/>
        </w:rPr>
      </w:pPr>
      <w:r>
        <w:rPr>
          <w:rFonts w:cs="Arial"/>
          <w:sz w:val="22"/>
        </w:rPr>
        <w:t>A summary of the academic support available to students</w:t>
      </w:r>
      <w:r w:rsidR="00284C34">
        <w:rPr>
          <w:rFonts w:cs="Arial"/>
          <w:sz w:val="22"/>
        </w:rPr>
        <w:t>,</w:t>
      </w:r>
      <w:r>
        <w:rPr>
          <w:rFonts w:cs="Arial"/>
          <w:sz w:val="22"/>
        </w:rPr>
        <w:t xml:space="preserve"> </w:t>
      </w:r>
      <w:r w:rsidR="00284C34">
        <w:rPr>
          <w:rFonts w:cs="Arial"/>
          <w:sz w:val="22"/>
        </w:rPr>
        <w:t xml:space="preserve">including </w:t>
      </w:r>
      <w:r>
        <w:rPr>
          <w:rFonts w:cs="Arial"/>
          <w:sz w:val="22"/>
        </w:rPr>
        <w:t>Personal Tutor activity</w:t>
      </w:r>
      <w:r w:rsidR="0068033A">
        <w:rPr>
          <w:rFonts w:cs="Arial"/>
          <w:sz w:val="22"/>
        </w:rPr>
        <w:t xml:space="preserve"> and tripartite meetings for apprentices</w:t>
      </w:r>
    </w:p>
    <w:p w14:paraId="0117408D" w14:textId="51E78EC7" w:rsidR="009C3A71" w:rsidRPr="00A9165C" w:rsidRDefault="00420543" w:rsidP="002B3AEB">
      <w:pPr>
        <w:pStyle w:val="ListParagraph"/>
        <w:numPr>
          <w:ilvl w:val="0"/>
          <w:numId w:val="2"/>
        </w:numPr>
        <w:spacing w:after="200" w:line="360" w:lineRule="auto"/>
        <w:ind w:left="567"/>
        <w:rPr>
          <w:rFonts w:cs="Arial"/>
          <w:sz w:val="22"/>
        </w:rPr>
      </w:pPr>
      <w:r w:rsidRPr="00AB2939">
        <w:rPr>
          <w:rFonts w:cs="Arial"/>
          <w:sz w:val="22"/>
        </w:rPr>
        <w:t xml:space="preserve">How good practice </w:t>
      </w:r>
      <w:r w:rsidR="008C6F6C" w:rsidRPr="00AB2939">
        <w:rPr>
          <w:rFonts w:cs="Arial"/>
          <w:sz w:val="22"/>
        </w:rPr>
        <w:t xml:space="preserve">is </w:t>
      </w:r>
      <w:r w:rsidRPr="00AB2939">
        <w:rPr>
          <w:rFonts w:cs="Arial"/>
          <w:sz w:val="22"/>
        </w:rPr>
        <w:t>shared among those involved in delivering the course</w:t>
      </w:r>
      <w:r w:rsidR="00DF606C">
        <w:rPr>
          <w:rFonts w:cs="Arial"/>
          <w:sz w:val="22"/>
        </w:rPr>
        <w:t>.</w:t>
      </w:r>
    </w:p>
    <w:p w14:paraId="5949DBCB" w14:textId="4A3E4EA4" w:rsidR="009C3A71" w:rsidRDefault="009C3A71" w:rsidP="002B3AEB">
      <w:pPr>
        <w:pStyle w:val="ListParagraph"/>
        <w:numPr>
          <w:ilvl w:val="0"/>
          <w:numId w:val="2"/>
        </w:numPr>
        <w:spacing w:after="200" w:line="360" w:lineRule="auto"/>
        <w:ind w:left="567"/>
        <w:rPr>
          <w:rFonts w:cs="Arial"/>
          <w:sz w:val="22"/>
        </w:rPr>
      </w:pPr>
      <w:r>
        <w:rPr>
          <w:rFonts w:cs="Arial"/>
          <w:sz w:val="22"/>
        </w:rPr>
        <w:t>A summary of any changes planned for the next year.</w:t>
      </w:r>
    </w:p>
    <w:p w14:paraId="1A95E36C" w14:textId="77777777" w:rsidR="00AB2939" w:rsidRPr="00730F2A" w:rsidRDefault="00AB2939" w:rsidP="00A9165C">
      <w:pPr>
        <w:pStyle w:val="ListParagraph"/>
        <w:spacing w:after="200" w:line="360" w:lineRule="auto"/>
        <w:ind w:left="1080"/>
        <w:rPr>
          <w:rFonts w:cs="Arial"/>
          <w:sz w:val="16"/>
          <w:szCs w:val="16"/>
        </w:rPr>
      </w:pPr>
    </w:p>
    <w:p w14:paraId="47A64AF0" w14:textId="288BFD19" w:rsidR="0033158F" w:rsidRDefault="6790FAFF" w:rsidP="002B3AEB">
      <w:pPr>
        <w:pStyle w:val="ListParagraph"/>
        <w:numPr>
          <w:ilvl w:val="0"/>
          <w:numId w:val="6"/>
        </w:numPr>
        <w:spacing w:line="360" w:lineRule="auto"/>
        <w:ind w:left="567"/>
        <w:rPr>
          <w:rFonts w:cs="Arial"/>
          <w:b/>
          <w:bCs/>
          <w:sz w:val="22"/>
        </w:rPr>
      </w:pPr>
      <w:r w:rsidRPr="6790FAFF">
        <w:rPr>
          <w:rFonts w:cs="Arial"/>
          <w:b/>
          <w:bCs/>
          <w:sz w:val="22"/>
        </w:rPr>
        <w:t>Assessment</w:t>
      </w:r>
    </w:p>
    <w:p w14:paraId="5EF0FCC3" w14:textId="42D9DD7E" w:rsidR="0020135E" w:rsidRPr="00730F2A" w:rsidRDefault="0020135E" w:rsidP="00A9165C">
      <w:pPr>
        <w:pStyle w:val="ListParagraph"/>
        <w:spacing w:line="360" w:lineRule="auto"/>
        <w:rPr>
          <w:rFonts w:cs="Arial"/>
          <w:b/>
          <w:bCs/>
          <w:sz w:val="6"/>
          <w:szCs w:val="6"/>
        </w:rPr>
      </w:pPr>
    </w:p>
    <w:p w14:paraId="0EB47DC1" w14:textId="57761427" w:rsidR="0020135E" w:rsidRPr="00A9165C" w:rsidRDefault="0054746A" w:rsidP="002B3AEB">
      <w:pPr>
        <w:pStyle w:val="ListParagraph"/>
        <w:numPr>
          <w:ilvl w:val="0"/>
          <w:numId w:val="3"/>
        </w:numPr>
        <w:spacing w:line="360" w:lineRule="auto"/>
        <w:ind w:left="567"/>
        <w:rPr>
          <w:rFonts w:cs="Arial"/>
          <w:sz w:val="22"/>
        </w:rPr>
      </w:pPr>
      <w:r>
        <w:rPr>
          <w:rFonts w:cs="Arial"/>
          <w:sz w:val="22"/>
        </w:rPr>
        <w:t>A</w:t>
      </w:r>
      <w:r w:rsidR="000C723E">
        <w:rPr>
          <w:rFonts w:cs="Arial"/>
          <w:sz w:val="22"/>
        </w:rPr>
        <w:t xml:space="preserve">n outline </w:t>
      </w:r>
      <w:r>
        <w:rPr>
          <w:rFonts w:cs="Arial"/>
          <w:sz w:val="22"/>
        </w:rPr>
        <w:t xml:space="preserve">of </w:t>
      </w:r>
      <w:r w:rsidR="00CD592C">
        <w:rPr>
          <w:rFonts w:cs="Arial"/>
          <w:sz w:val="22"/>
        </w:rPr>
        <w:t xml:space="preserve">the department’s approach to </w:t>
      </w:r>
      <w:r>
        <w:rPr>
          <w:rFonts w:cs="Arial"/>
          <w:sz w:val="22"/>
        </w:rPr>
        <w:t>a</w:t>
      </w:r>
      <w:r w:rsidR="00F63F5C">
        <w:rPr>
          <w:rFonts w:cs="Arial"/>
          <w:sz w:val="22"/>
        </w:rPr>
        <w:t xml:space="preserve">ssessment </w:t>
      </w:r>
      <w:r w:rsidR="002E24E4">
        <w:rPr>
          <w:rFonts w:cs="Arial"/>
          <w:sz w:val="22"/>
        </w:rPr>
        <w:t xml:space="preserve">methods </w:t>
      </w:r>
      <w:r w:rsidR="00D145B5">
        <w:rPr>
          <w:rFonts w:cs="Arial"/>
          <w:sz w:val="22"/>
        </w:rPr>
        <w:t>(including formative</w:t>
      </w:r>
      <w:r w:rsidR="000425A3" w:rsidRPr="000425A3">
        <w:rPr>
          <w:rFonts w:cs="Arial"/>
          <w:sz w:val="22"/>
        </w:rPr>
        <w:t xml:space="preserve"> </w:t>
      </w:r>
      <w:r w:rsidR="00072613">
        <w:rPr>
          <w:rFonts w:cs="Arial"/>
          <w:sz w:val="22"/>
        </w:rPr>
        <w:t xml:space="preserve">assessment </w:t>
      </w:r>
      <w:r w:rsidR="000425A3">
        <w:rPr>
          <w:rFonts w:cs="Arial"/>
          <w:sz w:val="22"/>
        </w:rPr>
        <w:t>and opportunities for group work</w:t>
      </w:r>
      <w:r w:rsidR="00D145B5">
        <w:rPr>
          <w:rFonts w:cs="Arial"/>
          <w:sz w:val="22"/>
        </w:rPr>
        <w:t xml:space="preserve">) </w:t>
      </w:r>
      <w:r>
        <w:rPr>
          <w:rFonts w:cs="Arial"/>
          <w:sz w:val="22"/>
        </w:rPr>
        <w:t>for all levels of provision</w:t>
      </w:r>
      <w:r w:rsidR="004E7E5D">
        <w:rPr>
          <w:rFonts w:cs="Arial"/>
          <w:sz w:val="22"/>
        </w:rPr>
        <w:t xml:space="preserve">, including </w:t>
      </w:r>
      <w:r w:rsidR="004E7E5D" w:rsidRPr="004E7E5D">
        <w:rPr>
          <w:rFonts w:cs="Arial"/>
          <w:sz w:val="22"/>
        </w:rPr>
        <w:t>Research Students’ Progress Board (RSPB)</w:t>
      </w:r>
      <w:r w:rsidR="004E7E5D">
        <w:rPr>
          <w:rFonts w:cs="Arial"/>
          <w:sz w:val="22"/>
        </w:rPr>
        <w:t xml:space="preserve"> for PGR provision</w:t>
      </w:r>
      <w:r w:rsidR="00CD592C">
        <w:rPr>
          <w:rFonts w:cs="Arial"/>
          <w:sz w:val="22"/>
        </w:rPr>
        <w:t>.</w:t>
      </w:r>
      <w:r w:rsidR="0000516E">
        <w:rPr>
          <w:rFonts w:cs="Arial"/>
          <w:sz w:val="22"/>
        </w:rPr>
        <w:t xml:space="preserve"> </w:t>
      </w:r>
      <w:r w:rsidR="002E24E4">
        <w:rPr>
          <w:rFonts w:cs="Arial"/>
          <w:sz w:val="22"/>
        </w:rPr>
        <w:t xml:space="preserve"> </w:t>
      </w:r>
    </w:p>
    <w:p w14:paraId="4F1C037D" w14:textId="0AA7B632" w:rsidR="000814D4" w:rsidRPr="00A9165C" w:rsidRDefault="0083266B" w:rsidP="002B3AEB">
      <w:pPr>
        <w:pStyle w:val="ListParagraph"/>
        <w:numPr>
          <w:ilvl w:val="0"/>
          <w:numId w:val="7"/>
        </w:numPr>
        <w:spacing w:line="360" w:lineRule="auto"/>
        <w:ind w:left="567"/>
        <w:rPr>
          <w:rFonts w:cs="Arial"/>
          <w:sz w:val="22"/>
        </w:rPr>
      </w:pPr>
      <w:r>
        <w:rPr>
          <w:rFonts w:cs="Arial"/>
          <w:sz w:val="22"/>
        </w:rPr>
        <w:t>Information</w:t>
      </w:r>
      <w:r w:rsidR="00F3752D">
        <w:rPr>
          <w:rFonts w:cs="Arial"/>
          <w:sz w:val="22"/>
        </w:rPr>
        <w:t xml:space="preserve"> on how the department maintains an appropriate level of assessment that is proportionate to the credit value and continues to meet all module </w:t>
      </w:r>
      <w:r w:rsidR="00F3752D" w:rsidRPr="00DB3DE2">
        <w:rPr>
          <w:rFonts w:cs="Arial"/>
          <w:sz w:val="22"/>
        </w:rPr>
        <w:t>learning outcomes</w:t>
      </w:r>
      <w:r w:rsidR="00F3752D">
        <w:rPr>
          <w:rFonts w:cs="Arial"/>
          <w:sz w:val="22"/>
        </w:rPr>
        <w:t>.</w:t>
      </w:r>
    </w:p>
    <w:p w14:paraId="1CA6EBB1" w14:textId="547792CE" w:rsidR="000814D4" w:rsidRPr="00A9165C" w:rsidRDefault="006C63FD" w:rsidP="002B3AEB">
      <w:pPr>
        <w:pStyle w:val="ListParagraph"/>
        <w:numPr>
          <w:ilvl w:val="0"/>
          <w:numId w:val="7"/>
        </w:numPr>
        <w:spacing w:line="360" w:lineRule="auto"/>
        <w:ind w:left="567"/>
        <w:rPr>
          <w:rFonts w:cs="Arial"/>
          <w:sz w:val="22"/>
        </w:rPr>
      </w:pPr>
      <w:r>
        <w:rPr>
          <w:rFonts w:cs="Arial"/>
          <w:sz w:val="22"/>
        </w:rPr>
        <w:t>A summary of the i</w:t>
      </w:r>
      <w:r w:rsidR="00F63F5C" w:rsidRPr="00F63F5C">
        <w:rPr>
          <w:rFonts w:cs="Arial"/>
          <w:sz w:val="22"/>
        </w:rPr>
        <w:t>nformation provided to students</w:t>
      </w:r>
      <w:r w:rsidR="00CD592C">
        <w:rPr>
          <w:rFonts w:cs="Arial"/>
          <w:sz w:val="22"/>
        </w:rPr>
        <w:t xml:space="preserve"> (</w:t>
      </w:r>
      <w:r w:rsidR="00F63F5C" w:rsidRPr="00F63F5C">
        <w:rPr>
          <w:rFonts w:cs="Arial"/>
          <w:sz w:val="22"/>
        </w:rPr>
        <w:t xml:space="preserve">such as </w:t>
      </w:r>
      <w:r w:rsidR="00284C34">
        <w:rPr>
          <w:rFonts w:cs="Arial"/>
          <w:sz w:val="22"/>
        </w:rPr>
        <w:t>how and when the assessment / marking criteria is provided and how it is used</w:t>
      </w:r>
      <w:r w:rsidR="00F63F5C" w:rsidRPr="00F63F5C">
        <w:rPr>
          <w:rFonts w:cs="Arial"/>
          <w:sz w:val="22"/>
        </w:rPr>
        <w:t xml:space="preserve">, </w:t>
      </w:r>
      <w:r w:rsidR="002810D5">
        <w:rPr>
          <w:rFonts w:cs="Arial"/>
          <w:sz w:val="22"/>
        </w:rPr>
        <w:t xml:space="preserve">how </w:t>
      </w:r>
      <w:r w:rsidR="002810D5" w:rsidRPr="002810D5">
        <w:rPr>
          <w:rFonts w:cs="Arial"/>
          <w:sz w:val="22"/>
        </w:rPr>
        <w:t>assessment corresponds to intended learning outcomes</w:t>
      </w:r>
      <w:r w:rsidR="002810D5">
        <w:rPr>
          <w:rFonts w:cs="Arial"/>
          <w:sz w:val="22"/>
        </w:rPr>
        <w:t>,</w:t>
      </w:r>
      <w:r w:rsidR="002810D5" w:rsidRPr="00F63F5C">
        <w:rPr>
          <w:rFonts w:cs="Arial"/>
          <w:sz w:val="22"/>
        </w:rPr>
        <w:t xml:space="preserve"> </w:t>
      </w:r>
      <w:r w:rsidR="00F63F5C" w:rsidRPr="00F63F5C">
        <w:rPr>
          <w:rFonts w:cs="Arial"/>
          <w:sz w:val="22"/>
        </w:rPr>
        <w:t xml:space="preserve">weightings, descriptors, </w:t>
      </w:r>
      <w:r w:rsidR="002810D5">
        <w:rPr>
          <w:rFonts w:cs="Arial"/>
          <w:sz w:val="22"/>
        </w:rPr>
        <w:t>as well as</w:t>
      </w:r>
      <w:r w:rsidR="00F63F5C" w:rsidRPr="00F63F5C">
        <w:rPr>
          <w:rFonts w:cs="Arial"/>
          <w:sz w:val="22"/>
        </w:rPr>
        <w:t xml:space="preserve"> academic support</w:t>
      </w:r>
      <w:r w:rsidR="0054746A">
        <w:rPr>
          <w:rFonts w:cs="Arial"/>
          <w:sz w:val="22"/>
        </w:rPr>
        <w:t xml:space="preserve"> available</w:t>
      </w:r>
      <w:r w:rsidR="0030576D">
        <w:rPr>
          <w:rFonts w:cs="Arial"/>
          <w:sz w:val="22"/>
        </w:rPr>
        <w:t>, including support for reassessment</w:t>
      </w:r>
      <w:r w:rsidR="00CD592C">
        <w:rPr>
          <w:rFonts w:cs="Arial"/>
          <w:sz w:val="22"/>
        </w:rPr>
        <w:t>)</w:t>
      </w:r>
      <w:r w:rsidR="00F63F5C" w:rsidRPr="00F63F5C">
        <w:rPr>
          <w:rFonts w:cs="Arial"/>
          <w:sz w:val="22"/>
        </w:rPr>
        <w:t xml:space="preserve">. </w:t>
      </w:r>
    </w:p>
    <w:p w14:paraId="6F7D36C1" w14:textId="67B851EA" w:rsidR="000814D4" w:rsidRPr="00A9165C" w:rsidRDefault="002E24E4" w:rsidP="002B3AEB">
      <w:pPr>
        <w:pStyle w:val="ListParagraph"/>
        <w:numPr>
          <w:ilvl w:val="0"/>
          <w:numId w:val="7"/>
        </w:numPr>
        <w:spacing w:line="360" w:lineRule="auto"/>
        <w:ind w:left="567"/>
        <w:rPr>
          <w:rFonts w:cs="Arial"/>
          <w:sz w:val="22"/>
        </w:rPr>
      </w:pPr>
      <w:r>
        <w:rPr>
          <w:rFonts w:cs="Arial"/>
          <w:sz w:val="22"/>
        </w:rPr>
        <w:t>Details</w:t>
      </w:r>
      <w:r w:rsidR="0054746A">
        <w:rPr>
          <w:rFonts w:cs="Arial"/>
          <w:sz w:val="22"/>
        </w:rPr>
        <w:t xml:space="preserve"> of </w:t>
      </w:r>
      <w:r>
        <w:rPr>
          <w:rFonts w:cs="Arial"/>
          <w:sz w:val="22"/>
        </w:rPr>
        <w:t>how module assessments are</w:t>
      </w:r>
      <w:r w:rsidR="0054746A">
        <w:rPr>
          <w:rFonts w:cs="Arial"/>
          <w:sz w:val="22"/>
        </w:rPr>
        <w:t xml:space="preserve"> s</w:t>
      </w:r>
      <w:r w:rsidR="00F63F5C" w:rsidRPr="00DB3DE2">
        <w:rPr>
          <w:rFonts w:cs="Arial"/>
          <w:sz w:val="22"/>
        </w:rPr>
        <w:t>chedul</w:t>
      </w:r>
      <w:r>
        <w:rPr>
          <w:rFonts w:cs="Arial"/>
          <w:sz w:val="22"/>
        </w:rPr>
        <w:t>ed across the academic year</w:t>
      </w:r>
      <w:r w:rsidR="00F63F5C" w:rsidRPr="00DB3DE2">
        <w:rPr>
          <w:rFonts w:cs="Arial"/>
          <w:sz w:val="22"/>
        </w:rPr>
        <w:t xml:space="preserve"> (including formative assessment)</w:t>
      </w:r>
      <w:r w:rsidR="0054746A">
        <w:rPr>
          <w:rFonts w:cs="Arial"/>
          <w:sz w:val="22"/>
        </w:rPr>
        <w:t>.</w:t>
      </w:r>
      <w:r w:rsidR="0068033A">
        <w:rPr>
          <w:rFonts w:cs="Arial"/>
          <w:sz w:val="22"/>
        </w:rPr>
        <w:t xml:space="preserve"> Include details of any End-Point Assessments for apprenticeships.</w:t>
      </w:r>
    </w:p>
    <w:p w14:paraId="72D1A1E7" w14:textId="2FF5F9AE" w:rsidR="000814D4" w:rsidRPr="00A9165C" w:rsidRDefault="00D145B5" w:rsidP="002B3AEB">
      <w:pPr>
        <w:pStyle w:val="ListParagraph"/>
        <w:numPr>
          <w:ilvl w:val="0"/>
          <w:numId w:val="3"/>
        </w:numPr>
        <w:spacing w:line="360" w:lineRule="auto"/>
        <w:ind w:left="567"/>
        <w:rPr>
          <w:rFonts w:cs="Arial"/>
          <w:sz w:val="22"/>
        </w:rPr>
      </w:pPr>
      <w:r>
        <w:rPr>
          <w:rFonts w:cs="Arial"/>
          <w:sz w:val="22"/>
        </w:rPr>
        <w:t>A summary of how</w:t>
      </w:r>
      <w:r w:rsidR="0054746A">
        <w:rPr>
          <w:rFonts w:cs="Arial"/>
          <w:sz w:val="22"/>
        </w:rPr>
        <w:t xml:space="preserve"> the department m</w:t>
      </w:r>
      <w:r w:rsidR="00F63F5C" w:rsidRPr="00DB3DE2">
        <w:rPr>
          <w:rFonts w:cs="Arial"/>
          <w:sz w:val="22"/>
        </w:rPr>
        <w:t>onitor</w:t>
      </w:r>
      <w:r w:rsidR="0054746A">
        <w:rPr>
          <w:rFonts w:cs="Arial"/>
          <w:sz w:val="22"/>
        </w:rPr>
        <w:t>s the</w:t>
      </w:r>
      <w:r w:rsidR="00F63F5C" w:rsidRPr="00DB3DE2">
        <w:rPr>
          <w:rFonts w:cs="Arial"/>
          <w:sz w:val="22"/>
        </w:rPr>
        <w:t xml:space="preserve"> effectiveness and timeliness of feedback</w:t>
      </w:r>
      <w:r w:rsidR="0054746A">
        <w:rPr>
          <w:rFonts w:cs="Arial"/>
          <w:sz w:val="22"/>
        </w:rPr>
        <w:t>.</w:t>
      </w:r>
      <w:r w:rsidR="00F63F5C" w:rsidRPr="00F63F5C">
        <w:rPr>
          <w:rFonts w:cs="Arial"/>
          <w:sz w:val="22"/>
        </w:rPr>
        <w:t xml:space="preserve"> </w:t>
      </w:r>
    </w:p>
    <w:p w14:paraId="37D96C45" w14:textId="1701BF24" w:rsidR="00420543" w:rsidRPr="00A9165C" w:rsidRDefault="0054746A" w:rsidP="002B3AEB">
      <w:pPr>
        <w:pStyle w:val="ListParagraph"/>
        <w:numPr>
          <w:ilvl w:val="0"/>
          <w:numId w:val="3"/>
        </w:numPr>
        <w:spacing w:line="360" w:lineRule="auto"/>
        <w:ind w:left="567"/>
        <w:rPr>
          <w:rFonts w:cs="Arial"/>
          <w:sz w:val="22"/>
        </w:rPr>
      </w:pPr>
      <w:r>
        <w:rPr>
          <w:rFonts w:cs="Arial"/>
          <w:sz w:val="22"/>
        </w:rPr>
        <w:t xml:space="preserve">A description on how the department </w:t>
      </w:r>
      <w:r w:rsidRPr="00DB3DE2">
        <w:rPr>
          <w:rFonts w:cs="Arial"/>
          <w:sz w:val="22"/>
        </w:rPr>
        <w:t>ensure</w:t>
      </w:r>
      <w:r>
        <w:rPr>
          <w:rFonts w:cs="Arial"/>
          <w:sz w:val="22"/>
        </w:rPr>
        <w:t>s</w:t>
      </w:r>
      <w:r w:rsidRPr="00DB3DE2">
        <w:rPr>
          <w:rFonts w:cs="Arial"/>
          <w:sz w:val="22"/>
        </w:rPr>
        <w:t xml:space="preserve"> marking and moderation processes are </w:t>
      </w:r>
      <w:r>
        <w:rPr>
          <w:rFonts w:cs="Arial"/>
          <w:sz w:val="22"/>
        </w:rPr>
        <w:t xml:space="preserve">consistently operated and </w:t>
      </w:r>
      <w:r w:rsidRPr="00DB3DE2">
        <w:rPr>
          <w:rFonts w:cs="Arial"/>
          <w:sz w:val="22"/>
        </w:rPr>
        <w:t>clear</w:t>
      </w:r>
      <w:r>
        <w:rPr>
          <w:rFonts w:cs="Arial"/>
          <w:sz w:val="22"/>
        </w:rPr>
        <w:t>ly articulated</w:t>
      </w:r>
      <w:r w:rsidRPr="00DB3DE2">
        <w:rPr>
          <w:rFonts w:cs="Arial"/>
          <w:sz w:val="22"/>
        </w:rPr>
        <w:t xml:space="preserve"> to students and External Examiners</w:t>
      </w:r>
      <w:r>
        <w:rPr>
          <w:rFonts w:cs="Arial"/>
          <w:sz w:val="22"/>
        </w:rPr>
        <w:t xml:space="preserve">. </w:t>
      </w:r>
    </w:p>
    <w:p w14:paraId="5530DD55" w14:textId="338760A2" w:rsidR="00420543" w:rsidRPr="00A9165C" w:rsidRDefault="008C6F6C" w:rsidP="002B3AEB">
      <w:pPr>
        <w:pStyle w:val="ListParagraph"/>
        <w:numPr>
          <w:ilvl w:val="0"/>
          <w:numId w:val="3"/>
        </w:numPr>
        <w:spacing w:line="360" w:lineRule="auto"/>
        <w:ind w:left="567"/>
        <w:rPr>
          <w:rFonts w:cs="Arial"/>
          <w:sz w:val="22"/>
        </w:rPr>
      </w:pPr>
      <w:r>
        <w:rPr>
          <w:rFonts w:cs="Arial"/>
          <w:sz w:val="22"/>
        </w:rPr>
        <w:t>I</w:t>
      </w:r>
      <w:r w:rsidR="00420543" w:rsidRPr="00F63F5C">
        <w:rPr>
          <w:rFonts w:cs="Arial"/>
          <w:sz w:val="22"/>
        </w:rPr>
        <w:t>nnovations in assessment methods under consideration or recently introduced</w:t>
      </w:r>
      <w:r w:rsidR="004D1E14">
        <w:rPr>
          <w:rFonts w:cs="Arial"/>
          <w:sz w:val="22"/>
        </w:rPr>
        <w:t>.</w:t>
      </w:r>
    </w:p>
    <w:p w14:paraId="13A88438" w14:textId="72C48111" w:rsidR="000814D4" w:rsidRPr="00527155" w:rsidRDefault="008C6F6C" w:rsidP="00527155">
      <w:pPr>
        <w:pStyle w:val="ListParagraph"/>
        <w:numPr>
          <w:ilvl w:val="0"/>
          <w:numId w:val="3"/>
        </w:numPr>
        <w:spacing w:line="360" w:lineRule="auto"/>
        <w:ind w:left="567"/>
        <w:rPr>
          <w:rFonts w:cs="Arial"/>
          <w:sz w:val="22"/>
        </w:rPr>
      </w:pPr>
      <w:r>
        <w:rPr>
          <w:rFonts w:cs="Arial"/>
          <w:sz w:val="22"/>
        </w:rPr>
        <w:t xml:space="preserve">An overview of </w:t>
      </w:r>
      <w:r w:rsidR="00420543" w:rsidRPr="00F63F5C">
        <w:rPr>
          <w:rFonts w:cs="Arial"/>
          <w:sz w:val="22"/>
        </w:rPr>
        <w:t xml:space="preserve">External Examiner </w:t>
      </w:r>
      <w:r>
        <w:rPr>
          <w:rFonts w:cs="Arial"/>
          <w:sz w:val="22"/>
        </w:rPr>
        <w:t>feedback on</w:t>
      </w:r>
      <w:r w:rsidR="00420543" w:rsidRPr="00F63F5C">
        <w:rPr>
          <w:rFonts w:cs="Arial"/>
          <w:sz w:val="22"/>
        </w:rPr>
        <w:t xml:space="preserve"> assessment strategies and implementation in practice</w:t>
      </w:r>
      <w:r w:rsidR="004D1E14">
        <w:rPr>
          <w:rFonts w:cs="Arial"/>
          <w:sz w:val="22"/>
        </w:rPr>
        <w:t>.</w:t>
      </w:r>
    </w:p>
    <w:p w14:paraId="39648877" w14:textId="3952F9A8" w:rsidR="0000516E" w:rsidRPr="00527155" w:rsidRDefault="0000516E" w:rsidP="00527155">
      <w:pPr>
        <w:pStyle w:val="ListParagraph"/>
        <w:numPr>
          <w:ilvl w:val="0"/>
          <w:numId w:val="3"/>
        </w:numPr>
        <w:spacing w:line="360" w:lineRule="auto"/>
        <w:ind w:left="567"/>
        <w:rPr>
          <w:rFonts w:cs="Arial"/>
          <w:sz w:val="22"/>
        </w:rPr>
      </w:pPr>
      <w:r w:rsidRPr="00DB3DE2">
        <w:rPr>
          <w:rFonts w:cs="Arial"/>
          <w:sz w:val="22"/>
        </w:rPr>
        <w:t>Professional Body Requirements, if appropriate</w:t>
      </w:r>
      <w:r>
        <w:rPr>
          <w:rFonts w:cs="Arial"/>
          <w:sz w:val="22"/>
        </w:rPr>
        <w:t>.</w:t>
      </w:r>
    </w:p>
    <w:p w14:paraId="0D69E74B" w14:textId="5FC2AF48" w:rsidR="009410EC" w:rsidRPr="0068033A" w:rsidRDefault="000820A2" w:rsidP="0068033A">
      <w:pPr>
        <w:pStyle w:val="ListParagraph"/>
        <w:numPr>
          <w:ilvl w:val="0"/>
          <w:numId w:val="8"/>
        </w:numPr>
        <w:spacing w:after="200" w:line="360" w:lineRule="auto"/>
        <w:ind w:left="567"/>
        <w:rPr>
          <w:rFonts w:cs="Arial"/>
          <w:b/>
          <w:bCs/>
          <w:sz w:val="22"/>
        </w:rPr>
      </w:pPr>
      <w:r w:rsidRPr="00AB2939">
        <w:rPr>
          <w:rFonts w:cs="Arial"/>
          <w:sz w:val="22"/>
        </w:rPr>
        <w:lastRenderedPageBreak/>
        <w:t xml:space="preserve">For courses embedding work-based or work-related learning </w:t>
      </w:r>
      <w:r w:rsidR="00636F8B">
        <w:rPr>
          <w:rFonts w:cs="Arial"/>
          <w:sz w:val="22"/>
        </w:rPr>
        <w:t>–</w:t>
      </w:r>
      <w:r w:rsidRPr="00AB2939">
        <w:rPr>
          <w:rFonts w:cs="Arial"/>
          <w:sz w:val="22"/>
        </w:rPr>
        <w:t xml:space="preserve"> </w:t>
      </w:r>
      <w:r w:rsidR="002B3AEB">
        <w:rPr>
          <w:rFonts w:cs="Arial"/>
          <w:sz w:val="22"/>
        </w:rPr>
        <w:t>i</w:t>
      </w:r>
      <w:r w:rsidRPr="002B3AEB">
        <w:rPr>
          <w:rFonts w:cs="Arial"/>
          <w:sz w:val="22"/>
        </w:rPr>
        <w:t>f employers are involved in the assessment of student</w:t>
      </w:r>
      <w:r w:rsidR="004D1E14" w:rsidRPr="002B3AEB">
        <w:rPr>
          <w:rFonts w:cs="Arial"/>
          <w:sz w:val="22"/>
        </w:rPr>
        <w:t xml:space="preserve"> </w:t>
      </w:r>
      <w:r w:rsidR="00636F8B" w:rsidRPr="002B3AEB">
        <w:rPr>
          <w:rFonts w:cs="Arial"/>
          <w:sz w:val="22"/>
        </w:rPr>
        <w:t>–</w:t>
      </w:r>
      <w:r w:rsidRPr="002B3AEB">
        <w:rPr>
          <w:rFonts w:cs="Arial"/>
          <w:sz w:val="22"/>
        </w:rPr>
        <w:t xml:space="preserve"> </w:t>
      </w:r>
      <w:r w:rsidR="00636F8B" w:rsidRPr="002B3AEB">
        <w:rPr>
          <w:rFonts w:cs="Arial"/>
          <w:sz w:val="22"/>
        </w:rPr>
        <w:t xml:space="preserve">explain </w:t>
      </w:r>
      <w:r w:rsidRPr="002B3AEB">
        <w:rPr>
          <w:rFonts w:cs="Arial"/>
          <w:sz w:val="22"/>
        </w:rPr>
        <w:t xml:space="preserve">how they work with academic </w:t>
      </w:r>
      <w:r w:rsidR="00347851" w:rsidRPr="002B3AEB">
        <w:rPr>
          <w:rFonts w:cs="Arial"/>
          <w:sz w:val="22"/>
        </w:rPr>
        <w:t>staff</w:t>
      </w:r>
      <w:r w:rsidR="004D1E14" w:rsidRPr="002B3AEB">
        <w:rPr>
          <w:rFonts w:cs="Arial"/>
          <w:sz w:val="22"/>
        </w:rPr>
        <w:t xml:space="preserve"> and</w:t>
      </w:r>
      <w:r w:rsidR="00347851" w:rsidRPr="002B3AEB">
        <w:rPr>
          <w:rFonts w:cs="Arial"/>
          <w:sz w:val="22"/>
        </w:rPr>
        <w:t xml:space="preserve"> </w:t>
      </w:r>
      <w:r w:rsidR="004F3087" w:rsidRPr="002B3AEB">
        <w:rPr>
          <w:rFonts w:cs="Arial"/>
          <w:sz w:val="22"/>
        </w:rPr>
        <w:t>w</w:t>
      </w:r>
      <w:r w:rsidR="00347851" w:rsidRPr="002B3AEB">
        <w:rPr>
          <w:rFonts w:cs="Arial"/>
          <w:sz w:val="22"/>
        </w:rPr>
        <w:t>hat</w:t>
      </w:r>
      <w:r w:rsidRPr="002B3AEB">
        <w:rPr>
          <w:rFonts w:cs="Arial"/>
          <w:sz w:val="22"/>
        </w:rPr>
        <w:t xml:space="preserve"> systematic arrangements</w:t>
      </w:r>
      <w:r w:rsidR="008C6F6C" w:rsidRPr="002B3AEB">
        <w:rPr>
          <w:rFonts w:cs="Arial"/>
          <w:sz w:val="22"/>
        </w:rPr>
        <w:t xml:space="preserve"> are in place</w:t>
      </w:r>
      <w:r w:rsidRPr="002B3AEB">
        <w:rPr>
          <w:rFonts w:cs="Arial"/>
          <w:sz w:val="22"/>
        </w:rPr>
        <w:t xml:space="preserve"> for coordinating such activity involving academic staff</w:t>
      </w:r>
      <w:r w:rsidR="004D1E14" w:rsidRPr="002B3AEB">
        <w:rPr>
          <w:rFonts w:cs="Arial"/>
          <w:sz w:val="22"/>
        </w:rPr>
        <w:t>.</w:t>
      </w:r>
      <w:r w:rsidR="0068033A">
        <w:rPr>
          <w:rFonts w:cs="Arial"/>
          <w:sz w:val="22"/>
        </w:rPr>
        <w:t xml:space="preserve"> Highlight where there are differences for apprenticeships.</w:t>
      </w:r>
    </w:p>
    <w:p w14:paraId="67AB2907" w14:textId="596E2946" w:rsidR="009410EC" w:rsidRPr="009410EC" w:rsidRDefault="009410EC" w:rsidP="002B3AEB">
      <w:pPr>
        <w:pStyle w:val="ListParagraph"/>
        <w:numPr>
          <w:ilvl w:val="0"/>
          <w:numId w:val="6"/>
        </w:numPr>
        <w:spacing w:line="360" w:lineRule="auto"/>
        <w:ind w:left="567"/>
        <w:rPr>
          <w:rFonts w:cs="Arial"/>
          <w:b/>
          <w:bCs/>
          <w:sz w:val="22"/>
        </w:rPr>
      </w:pPr>
      <w:r w:rsidRPr="009410EC">
        <w:rPr>
          <w:rFonts w:cs="Arial"/>
          <w:b/>
          <w:bCs/>
          <w:sz w:val="22"/>
        </w:rPr>
        <w:t>Reassessment</w:t>
      </w:r>
    </w:p>
    <w:p w14:paraId="3144CB25" w14:textId="32DAD4D4" w:rsidR="009410EC" w:rsidRPr="00730F2A" w:rsidRDefault="009410EC" w:rsidP="00A9165C">
      <w:pPr>
        <w:pStyle w:val="ListParagraph"/>
        <w:spacing w:line="360" w:lineRule="auto"/>
        <w:rPr>
          <w:rFonts w:cs="Arial"/>
          <w:sz w:val="6"/>
          <w:szCs w:val="6"/>
        </w:rPr>
      </w:pPr>
    </w:p>
    <w:p w14:paraId="521B4C6B" w14:textId="56D44C78" w:rsidR="009410EC" w:rsidRPr="00201A40" w:rsidRDefault="009410EC" w:rsidP="00201A40">
      <w:pPr>
        <w:pStyle w:val="ListParagraph"/>
        <w:numPr>
          <w:ilvl w:val="0"/>
          <w:numId w:val="3"/>
        </w:numPr>
        <w:spacing w:line="360" w:lineRule="auto"/>
        <w:ind w:left="567"/>
        <w:rPr>
          <w:rFonts w:cs="Arial"/>
          <w:sz w:val="22"/>
        </w:rPr>
      </w:pPr>
      <w:r>
        <w:rPr>
          <w:rFonts w:cs="Arial"/>
          <w:sz w:val="22"/>
        </w:rPr>
        <w:t xml:space="preserve">An outline of the department’s approach to reassessment methods for all levels of provision.  </w:t>
      </w:r>
    </w:p>
    <w:p w14:paraId="285CB194" w14:textId="13949AB5" w:rsidR="009410EC" w:rsidRPr="00201A40" w:rsidRDefault="009410EC" w:rsidP="00201A40">
      <w:pPr>
        <w:pStyle w:val="ListParagraph"/>
        <w:numPr>
          <w:ilvl w:val="0"/>
          <w:numId w:val="3"/>
        </w:numPr>
        <w:spacing w:line="360" w:lineRule="auto"/>
        <w:ind w:left="567"/>
        <w:rPr>
          <w:rFonts w:cs="Arial"/>
          <w:sz w:val="22"/>
        </w:rPr>
      </w:pPr>
      <w:r w:rsidRPr="00AB2939">
        <w:rPr>
          <w:rFonts w:cs="Arial"/>
          <w:sz w:val="22"/>
        </w:rPr>
        <w:t>An outline of reassessment methods for all levels of provision; how this aligns with the University policy for like-for-like assessment and reassessment and reasons for any variation between assessment and reassessment formats</w:t>
      </w:r>
      <w:r>
        <w:rPr>
          <w:rFonts w:cs="Arial"/>
          <w:sz w:val="22"/>
        </w:rPr>
        <w:t>.</w:t>
      </w:r>
    </w:p>
    <w:p w14:paraId="435AA6A3" w14:textId="69CCED53" w:rsidR="009410EC" w:rsidRDefault="009410EC" w:rsidP="002B3AEB">
      <w:pPr>
        <w:pStyle w:val="ListParagraph"/>
        <w:numPr>
          <w:ilvl w:val="0"/>
          <w:numId w:val="3"/>
        </w:numPr>
        <w:spacing w:line="360" w:lineRule="auto"/>
        <w:ind w:left="567"/>
        <w:rPr>
          <w:rFonts w:cs="Arial"/>
          <w:sz w:val="22"/>
        </w:rPr>
      </w:pPr>
      <w:r>
        <w:rPr>
          <w:rFonts w:cs="Arial"/>
          <w:sz w:val="22"/>
        </w:rPr>
        <w:t xml:space="preserve">Information on how the department maintains an appropriate level of reassessment that is proportionate to the credit value and continues to meet all module </w:t>
      </w:r>
      <w:r w:rsidRPr="00DB3DE2">
        <w:rPr>
          <w:rFonts w:cs="Arial"/>
          <w:sz w:val="22"/>
        </w:rPr>
        <w:t>learning outcomes</w:t>
      </w:r>
      <w:r>
        <w:rPr>
          <w:rFonts w:cs="Arial"/>
          <w:sz w:val="22"/>
        </w:rPr>
        <w:t>.</w:t>
      </w:r>
    </w:p>
    <w:p w14:paraId="2A0956FB" w14:textId="77777777" w:rsidR="009410EC" w:rsidRPr="006D1A65" w:rsidRDefault="009410EC" w:rsidP="00A9165C">
      <w:pPr>
        <w:pStyle w:val="ListParagraph"/>
        <w:spacing w:line="360" w:lineRule="auto"/>
        <w:ind w:left="1080"/>
        <w:rPr>
          <w:rFonts w:cs="Arial"/>
          <w:sz w:val="16"/>
          <w:szCs w:val="16"/>
        </w:rPr>
      </w:pPr>
    </w:p>
    <w:p w14:paraId="76D9C322" w14:textId="06457276" w:rsidR="007E4B55" w:rsidRDefault="00F63F5C" w:rsidP="002B3AEB">
      <w:pPr>
        <w:pStyle w:val="ListParagraph"/>
        <w:numPr>
          <w:ilvl w:val="0"/>
          <w:numId w:val="6"/>
        </w:numPr>
        <w:spacing w:line="360" w:lineRule="auto"/>
        <w:ind w:left="567"/>
        <w:rPr>
          <w:rFonts w:cs="Arial"/>
          <w:sz w:val="22"/>
        </w:rPr>
      </w:pPr>
      <w:r w:rsidRPr="008E6FC8">
        <w:rPr>
          <w:rFonts w:cs="Arial"/>
          <w:b/>
          <w:bCs/>
          <w:sz w:val="22"/>
        </w:rPr>
        <w:t>Reflection on</w:t>
      </w:r>
      <w:r w:rsidR="002B323A">
        <w:rPr>
          <w:rFonts w:cs="Arial"/>
          <w:b/>
          <w:bCs/>
          <w:sz w:val="22"/>
        </w:rPr>
        <w:t xml:space="preserve"> current</w:t>
      </w:r>
      <w:r w:rsidR="008E6FC8" w:rsidRPr="008E6FC8">
        <w:rPr>
          <w:rFonts w:cs="Arial"/>
          <w:b/>
          <w:bCs/>
          <w:sz w:val="22"/>
        </w:rPr>
        <w:t xml:space="preserve"> teaching, learning and</w:t>
      </w:r>
      <w:r w:rsidRPr="008E6FC8">
        <w:rPr>
          <w:rFonts w:cs="Arial"/>
          <w:b/>
          <w:bCs/>
          <w:sz w:val="22"/>
        </w:rPr>
        <w:t xml:space="preserve"> assessment methods and approaches</w:t>
      </w:r>
      <w:r w:rsidRPr="00F63F5C">
        <w:rPr>
          <w:rFonts w:cs="Arial"/>
          <w:sz w:val="22"/>
        </w:rPr>
        <w:t xml:space="preserve"> </w:t>
      </w:r>
    </w:p>
    <w:p w14:paraId="6AED5183" w14:textId="2D5CF502" w:rsidR="0020135E" w:rsidRPr="00730F2A" w:rsidRDefault="0020135E" w:rsidP="00A9165C">
      <w:pPr>
        <w:pStyle w:val="ListParagraph"/>
        <w:spacing w:line="360" w:lineRule="auto"/>
        <w:ind w:left="1080"/>
        <w:rPr>
          <w:rFonts w:cs="Arial"/>
          <w:sz w:val="10"/>
          <w:szCs w:val="10"/>
        </w:rPr>
      </w:pPr>
    </w:p>
    <w:p w14:paraId="25A7358B" w14:textId="7B9E192F" w:rsidR="00C9282C" w:rsidRPr="002B3AEB" w:rsidRDefault="00ED7146" w:rsidP="00427E5B">
      <w:pPr>
        <w:pStyle w:val="ListParagraph"/>
        <w:numPr>
          <w:ilvl w:val="0"/>
          <w:numId w:val="3"/>
        </w:numPr>
        <w:spacing w:line="360" w:lineRule="auto"/>
        <w:ind w:left="567"/>
        <w:rPr>
          <w:rFonts w:cs="Arial"/>
          <w:sz w:val="22"/>
        </w:rPr>
      </w:pPr>
      <w:r>
        <w:rPr>
          <w:rFonts w:cs="Arial"/>
          <w:sz w:val="22"/>
        </w:rPr>
        <w:t>What is the department’s rationale behind the approach to teaching, learning and assessment?</w:t>
      </w:r>
    </w:p>
    <w:p w14:paraId="4F849A64" w14:textId="7ACBC786" w:rsidR="002B1D54" w:rsidRPr="002B3AEB" w:rsidRDefault="00C9282C" w:rsidP="00427E5B">
      <w:pPr>
        <w:pStyle w:val="ListParagraph"/>
        <w:numPr>
          <w:ilvl w:val="0"/>
          <w:numId w:val="3"/>
        </w:numPr>
        <w:spacing w:line="360" w:lineRule="auto"/>
        <w:ind w:left="567"/>
        <w:rPr>
          <w:rFonts w:cs="Arial"/>
          <w:sz w:val="22"/>
        </w:rPr>
      </w:pPr>
      <w:r>
        <w:rPr>
          <w:rFonts w:cs="Arial"/>
          <w:sz w:val="22"/>
        </w:rPr>
        <w:t xml:space="preserve">What has the department learnt </w:t>
      </w:r>
      <w:r w:rsidRPr="00DB3DE2">
        <w:rPr>
          <w:rFonts w:cs="Arial"/>
          <w:sz w:val="22"/>
        </w:rPr>
        <w:t xml:space="preserve">from </w:t>
      </w:r>
      <w:r>
        <w:rPr>
          <w:rFonts w:cs="Arial"/>
          <w:sz w:val="22"/>
        </w:rPr>
        <w:t xml:space="preserve">the </w:t>
      </w:r>
      <w:r w:rsidRPr="00DB3DE2">
        <w:rPr>
          <w:rFonts w:cs="Arial"/>
          <w:sz w:val="22"/>
        </w:rPr>
        <w:t>changes to</w:t>
      </w:r>
      <w:r>
        <w:rPr>
          <w:rFonts w:cs="Arial"/>
          <w:sz w:val="22"/>
        </w:rPr>
        <w:t xml:space="preserve"> learning, teaching and </w:t>
      </w:r>
      <w:r w:rsidRPr="00DB3DE2">
        <w:rPr>
          <w:rFonts w:cs="Arial"/>
          <w:sz w:val="22"/>
        </w:rPr>
        <w:t>assessment in response to the pandemic</w:t>
      </w:r>
      <w:r>
        <w:rPr>
          <w:rFonts w:cs="Arial"/>
          <w:sz w:val="22"/>
        </w:rPr>
        <w:t>?</w:t>
      </w:r>
    </w:p>
    <w:p w14:paraId="34FFF303" w14:textId="445EE4C6" w:rsidR="00C9282C" w:rsidRDefault="002810D5" w:rsidP="00427E5B">
      <w:pPr>
        <w:pStyle w:val="ListParagraph"/>
        <w:numPr>
          <w:ilvl w:val="0"/>
          <w:numId w:val="3"/>
        </w:numPr>
        <w:spacing w:line="360" w:lineRule="auto"/>
        <w:ind w:left="567"/>
        <w:rPr>
          <w:rFonts w:cs="Arial"/>
          <w:sz w:val="22"/>
        </w:rPr>
      </w:pPr>
      <w:r>
        <w:rPr>
          <w:rFonts w:cs="Arial"/>
          <w:sz w:val="22"/>
        </w:rPr>
        <w:t>H</w:t>
      </w:r>
      <w:r w:rsidRPr="00DB3DE2">
        <w:rPr>
          <w:rFonts w:cs="Arial"/>
          <w:sz w:val="22"/>
        </w:rPr>
        <w:t>ow</w:t>
      </w:r>
      <w:r>
        <w:rPr>
          <w:rFonts w:cs="Arial"/>
          <w:sz w:val="22"/>
        </w:rPr>
        <w:t xml:space="preserve"> do</w:t>
      </w:r>
      <w:r w:rsidRPr="00DB3DE2">
        <w:rPr>
          <w:rFonts w:cs="Arial"/>
          <w:sz w:val="22"/>
        </w:rPr>
        <w:t xml:space="preserve"> teaching</w:t>
      </w:r>
      <w:r>
        <w:rPr>
          <w:rFonts w:cs="Arial"/>
          <w:sz w:val="22"/>
        </w:rPr>
        <w:t xml:space="preserve">, </w:t>
      </w:r>
      <w:r w:rsidRPr="00DB3DE2">
        <w:rPr>
          <w:rFonts w:cs="Arial"/>
          <w:sz w:val="22"/>
        </w:rPr>
        <w:t>learning</w:t>
      </w:r>
      <w:r>
        <w:rPr>
          <w:rFonts w:cs="Arial"/>
          <w:sz w:val="22"/>
        </w:rPr>
        <w:t xml:space="preserve"> and assessment</w:t>
      </w:r>
      <w:r w:rsidRPr="00DB3DE2">
        <w:rPr>
          <w:rFonts w:cs="Arial"/>
          <w:sz w:val="22"/>
        </w:rPr>
        <w:t xml:space="preserve"> methods</w:t>
      </w:r>
      <w:r w:rsidR="00C9282C">
        <w:rPr>
          <w:rFonts w:cs="Arial"/>
          <w:sz w:val="22"/>
        </w:rPr>
        <w:t>:</w:t>
      </w:r>
    </w:p>
    <w:p w14:paraId="7E55A476" w14:textId="28C352D3" w:rsidR="00C9282C" w:rsidRDefault="002810D5" w:rsidP="00427E5B">
      <w:pPr>
        <w:pStyle w:val="ListParagraph"/>
        <w:numPr>
          <w:ilvl w:val="1"/>
          <w:numId w:val="3"/>
        </w:numPr>
        <w:spacing w:line="360" w:lineRule="auto"/>
        <w:ind w:left="993"/>
        <w:rPr>
          <w:rFonts w:cs="Arial"/>
          <w:sz w:val="22"/>
        </w:rPr>
      </w:pPr>
      <w:r w:rsidRPr="00DB3DE2">
        <w:rPr>
          <w:rFonts w:cs="Arial"/>
          <w:sz w:val="22"/>
        </w:rPr>
        <w:t>stimulate and challenge students</w:t>
      </w:r>
      <w:r w:rsidR="00C9282C">
        <w:rPr>
          <w:rFonts w:cs="Arial"/>
          <w:sz w:val="22"/>
        </w:rPr>
        <w:t>,</w:t>
      </w:r>
      <w:r w:rsidRPr="00DB3DE2">
        <w:rPr>
          <w:rFonts w:cs="Arial"/>
          <w:sz w:val="22"/>
        </w:rPr>
        <w:t xml:space="preserve"> and encourage them to actively engage</w:t>
      </w:r>
    </w:p>
    <w:p w14:paraId="056B0533" w14:textId="684D32E7" w:rsidR="002810D5" w:rsidRDefault="002810D5" w:rsidP="00427E5B">
      <w:pPr>
        <w:pStyle w:val="ListParagraph"/>
        <w:numPr>
          <w:ilvl w:val="1"/>
          <w:numId w:val="3"/>
        </w:numPr>
        <w:spacing w:line="360" w:lineRule="auto"/>
        <w:ind w:left="993"/>
        <w:rPr>
          <w:rFonts w:cs="Arial"/>
          <w:sz w:val="22"/>
        </w:rPr>
      </w:pPr>
      <w:r w:rsidRPr="00DB3DE2">
        <w:rPr>
          <w:rFonts w:cs="Arial"/>
          <w:sz w:val="22"/>
        </w:rPr>
        <w:t>meet the needs of a diverse range of students, including</w:t>
      </w:r>
      <w:r>
        <w:rPr>
          <w:rFonts w:cs="Arial"/>
          <w:sz w:val="22"/>
        </w:rPr>
        <w:t xml:space="preserve"> nationality and</w:t>
      </w:r>
      <w:r w:rsidRPr="00DB3DE2">
        <w:rPr>
          <w:rFonts w:cs="Arial"/>
          <w:sz w:val="22"/>
        </w:rPr>
        <w:t xml:space="preserve"> those with disabilities</w:t>
      </w:r>
      <w:r w:rsidR="00ED7146">
        <w:rPr>
          <w:rFonts w:cs="Arial"/>
          <w:sz w:val="22"/>
        </w:rPr>
        <w:t xml:space="preserve">? </w:t>
      </w:r>
      <w:r>
        <w:rPr>
          <w:rFonts w:cs="Arial"/>
          <w:sz w:val="22"/>
        </w:rPr>
        <w:t>(</w:t>
      </w:r>
      <w:r w:rsidRPr="00DB3DE2">
        <w:rPr>
          <w:rFonts w:cs="Arial"/>
          <w:sz w:val="22"/>
        </w:rPr>
        <w:t xml:space="preserve">Student Wellbeing and Inclusivity Service provide </w:t>
      </w:r>
      <w:hyperlink r:id="rId17" w:history="1">
        <w:r w:rsidRPr="00DB3DE2">
          <w:rPr>
            <w:rStyle w:val="Hyperlink"/>
            <w:rFonts w:cs="Arial"/>
            <w:sz w:val="22"/>
          </w:rPr>
          <w:t>guidance</w:t>
        </w:r>
      </w:hyperlink>
      <w:r w:rsidRPr="00DB3DE2">
        <w:rPr>
          <w:rFonts w:cs="Arial"/>
          <w:sz w:val="22"/>
        </w:rPr>
        <w:t xml:space="preserve"> on ensuring your teaching practice is inclusive for disabled students</w:t>
      </w:r>
      <w:r>
        <w:rPr>
          <w:rFonts w:cs="Arial"/>
          <w:sz w:val="22"/>
        </w:rPr>
        <w:t>)</w:t>
      </w:r>
      <w:r w:rsidRPr="00DB3DE2">
        <w:rPr>
          <w:rFonts w:cs="Arial"/>
          <w:sz w:val="22"/>
        </w:rPr>
        <w:t>.</w:t>
      </w:r>
    </w:p>
    <w:p w14:paraId="5F934ADB" w14:textId="373240E9" w:rsidR="00C9282C" w:rsidRDefault="00C9282C" w:rsidP="00427E5B">
      <w:pPr>
        <w:pStyle w:val="ListParagraph"/>
        <w:numPr>
          <w:ilvl w:val="1"/>
          <w:numId w:val="3"/>
        </w:numPr>
        <w:spacing w:line="360" w:lineRule="auto"/>
        <w:ind w:left="993"/>
        <w:rPr>
          <w:rFonts w:cs="Arial"/>
          <w:sz w:val="22"/>
        </w:rPr>
      </w:pPr>
      <w:r w:rsidRPr="00DB3DE2">
        <w:rPr>
          <w:rFonts w:cs="Arial"/>
          <w:sz w:val="22"/>
        </w:rPr>
        <w:t>support</w:t>
      </w:r>
      <w:r>
        <w:rPr>
          <w:rFonts w:cs="Arial"/>
          <w:sz w:val="22"/>
        </w:rPr>
        <w:t xml:space="preserve"> </w:t>
      </w:r>
      <w:r w:rsidRPr="00DB3DE2">
        <w:rPr>
          <w:rFonts w:cs="Arial"/>
          <w:sz w:val="22"/>
        </w:rPr>
        <w:t>skills development</w:t>
      </w:r>
    </w:p>
    <w:p w14:paraId="6A53ADD9" w14:textId="4E642D79" w:rsidR="000814D4" w:rsidRPr="002B3AEB" w:rsidRDefault="00C9282C" w:rsidP="00427E5B">
      <w:pPr>
        <w:pStyle w:val="ListParagraph"/>
        <w:numPr>
          <w:ilvl w:val="1"/>
          <w:numId w:val="3"/>
        </w:numPr>
        <w:spacing w:line="360" w:lineRule="auto"/>
        <w:ind w:left="993"/>
        <w:rPr>
          <w:rFonts w:cs="Arial"/>
          <w:sz w:val="24"/>
          <w:szCs w:val="24"/>
        </w:rPr>
      </w:pPr>
      <w:r w:rsidRPr="004F3087">
        <w:rPr>
          <w:sz w:val="22"/>
          <w:szCs w:val="24"/>
        </w:rPr>
        <w:t>promote and embed academic integrity, including to prevent and detect plagiarism in assessment</w:t>
      </w:r>
    </w:p>
    <w:p w14:paraId="554B1225" w14:textId="673C75B5" w:rsidR="000814D4" w:rsidRPr="0082463F" w:rsidRDefault="00C9282C" w:rsidP="00427E5B">
      <w:pPr>
        <w:pStyle w:val="ListParagraph"/>
        <w:numPr>
          <w:ilvl w:val="0"/>
          <w:numId w:val="3"/>
        </w:numPr>
        <w:spacing w:line="360" w:lineRule="auto"/>
        <w:ind w:left="567"/>
        <w:rPr>
          <w:rFonts w:cs="Arial"/>
          <w:sz w:val="22"/>
        </w:rPr>
      </w:pPr>
      <w:r>
        <w:rPr>
          <w:rFonts w:cs="Arial"/>
          <w:sz w:val="22"/>
        </w:rPr>
        <w:t>How does the department encourage and support students to offer feedback?  W</w:t>
      </w:r>
      <w:r w:rsidR="00A84CBF">
        <w:rPr>
          <w:rFonts w:cs="Arial"/>
          <w:sz w:val="22"/>
        </w:rPr>
        <w:t xml:space="preserve">hat actions have been taken by the department </w:t>
      </w:r>
      <w:r>
        <w:rPr>
          <w:rFonts w:cs="Arial"/>
          <w:sz w:val="22"/>
        </w:rPr>
        <w:t>in response</w:t>
      </w:r>
      <w:r w:rsidRPr="00DB3DE2">
        <w:rPr>
          <w:rFonts w:cs="Arial"/>
          <w:sz w:val="22"/>
        </w:rPr>
        <w:t xml:space="preserve"> </w:t>
      </w:r>
      <w:r w:rsidR="00B66AF8" w:rsidRPr="00DB3DE2">
        <w:rPr>
          <w:rFonts w:cs="Arial"/>
          <w:sz w:val="22"/>
        </w:rPr>
        <w:t xml:space="preserve">to </w:t>
      </w:r>
      <w:r>
        <w:rPr>
          <w:rFonts w:cs="Arial"/>
          <w:sz w:val="22"/>
        </w:rPr>
        <w:t xml:space="preserve">student </w:t>
      </w:r>
      <w:r w:rsidR="00B66AF8" w:rsidRPr="00DB3DE2">
        <w:rPr>
          <w:rFonts w:cs="Arial"/>
          <w:sz w:val="22"/>
        </w:rPr>
        <w:t>feedback</w:t>
      </w:r>
      <w:r>
        <w:rPr>
          <w:rFonts w:cs="Arial"/>
          <w:sz w:val="22"/>
        </w:rPr>
        <w:t xml:space="preserve"> (including student module feedback,</w:t>
      </w:r>
      <w:r w:rsidR="0029710A">
        <w:rPr>
          <w:rFonts w:cs="Arial"/>
          <w:sz w:val="22"/>
        </w:rPr>
        <w:t xml:space="preserve"> PGR SVS,</w:t>
      </w:r>
      <w:r>
        <w:rPr>
          <w:rFonts w:cs="Arial"/>
          <w:sz w:val="22"/>
        </w:rPr>
        <w:t xml:space="preserve"> UKES, NSS and any other forms of feedback)?</w:t>
      </w:r>
    </w:p>
    <w:p w14:paraId="63BA4E08" w14:textId="17E89C3A" w:rsidR="00551D8F" w:rsidRPr="002D6D3D" w:rsidRDefault="00964136" w:rsidP="00427E5B">
      <w:pPr>
        <w:pStyle w:val="ListParagraph"/>
        <w:numPr>
          <w:ilvl w:val="0"/>
          <w:numId w:val="3"/>
        </w:numPr>
        <w:spacing w:after="200" w:line="360" w:lineRule="auto"/>
        <w:ind w:left="567"/>
        <w:rPr>
          <w:rFonts w:cs="Arial"/>
          <w:b/>
          <w:bCs/>
          <w:sz w:val="22"/>
        </w:rPr>
      </w:pPr>
      <w:r w:rsidRPr="00911A09">
        <w:rPr>
          <w:rFonts w:cs="Arial"/>
          <w:sz w:val="22"/>
        </w:rPr>
        <w:t>What are the plans for future development of teaching</w:t>
      </w:r>
      <w:r w:rsidR="005557A3">
        <w:rPr>
          <w:rFonts w:cs="Arial"/>
          <w:sz w:val="22"/>
        </w:rPr>
        <w:t>, learning</w:t>
      </w:r>
      <w:r w:rsidRPr="00911A09">
        <w:rPr>
          <w:rFonts w:cs="Arial"/>
          <w:sz w:val="22"/>
        </w:rPr>
        <w:t xml:space="preserve"> and assessment?</w:t>
      </w:r>
    </w:p>
    <w:p w14:paraId="6FA95527" w14:textId="2053F68D" w:rsidR="002D6D3D" w:rsidRDefault="002D6D3D">
      <w:pPr>
        <w:spacing w:after="200" w:line="276" w:lineRule="auto"/>
        <w:rPr>
          <w:rFonts w:cs="Arial"/>
          <w:b/>
          <w:bCs/>
          <w:sz w:val="22"/>
        </w:rPr>
      </w:pPr>
    </w:p>
    <w:p w14:paraId="34EEBE6B" w14:textId="3978F059" w:rsidR="00541410" w:rsidRPr="00830B2B" w:rsidRDefault="00541410" w:rsidP="002D6D3D">
      <w:pPr>
        <w:pBdr>
          <w:bottom w:val="single" w:sz="4" w:space="1" w:color="auto"/>
        </w:pBdr>
        <w:spacing w:line="360" w:lineRule="auto"/>
        <w:rPr>
          <w:rFonts w:cs="Arial"/>
          <w:b/>
          <w:bCs/>
          <w:sz w:val="24"/>
          <w:szCs w:val="24"/>
        </w:rPr>
      </w:pPr>
      <w:r w:rsidRPr="00830B2B">
        <w:rPr>
          <w:rFonts w:cs="Arial"/>
          <w:b/>
          <w:bCs/>
          <w:sz w:val="24"/>
          <w:szCs w:val="24"/>
        </w:rPr>
        <w:lastRenderedPageBreak/>
        <w:t>Appendix</w:t>
      </w:r>
    </w:p>
    <w:p w14:paraId="4F78BBFB" w14:textId="77777777" w:rsidR="00541410" w:rsidRPr="00DB3DE2" w:rsidRDefault="00541410" w:rsidP="00A9165C">
      <w:pPr>
        <w:spacing w:line="360" w:lineRule="auto"/>
        <w:rPr>
          <w:rFonts w:cs="Arial"/>
          <w:b/>
          <w:bCs/>
          <w:sz w:val="22"/>
        </w:rPr>
      </w:pPr>
    </w:p>
    <w:p w14:paraId="4068E4E7" w14:textId="6001A391" w:rsidR="004F4BF3" w:rsidRPr="00830B2B" w:rsidRDefault="00B04C7E" w:rsidP="00E776F4">
      <w:pPr>
        <w:spacing w:after="200" w:line="360" w:lineRule="auto"/>
        <w:rPr>
          <w:rFonts w:cs="Arial"/>
          <w:sz w:val="22"/>
        </w:rPr>
      </w:pPr>
      <w:r w:rsidRPr="00830B2B">
        <w:rPr>
          <w:rFonts w:cs="Arial"/>
          <w:sz w:val="22"/>
        </w:rPr>
        <w:t xml:space="preserve">Please contact </w:t>
      </w:r>
      <w:r w:rsidR="00942DA9" w:rsidRPr="00830B2B">
        <w:rPr>
          <w:rFonts w:cs="Arial"/>
          <w:sz w:val="22"/>
        </w:rPr>
        <w:t xml:space="preserve">QUAD, </w:t>
      </w:r>
      <w:r w:rsidRPr="00830B2B">
        <w:rPr>
          <w:rFonts w:cs="Arial"/>
          <w:sz w:val="22"/>
        </w:rPr>
        <w:t xml:space="preserve">Organisational Development </w:t>
      </w:r>
      <w:r w:rsidR="004F3087" w:rsidRPr="00830B2B">
        <w:rPr>
          <w:rFonts w:cs="Arial"/>
          <w:sz w:val="22"/>
        </w:rPr>
        <w:t xml:space="preserve">and </w:t>
      </w:r>
      <w:r w:rsidR="00942DA9" w:rsidRPr="00830B2B">
        <w:rPr>
          <w:rFonts w:cs="Arial"/>
          <w:sz w:val="22"/>
        </w:rPr>
        <w:t xml:space="preserve">/ </w:t>
      </w:r>
      <w:r w:rsidR="004F3087" w:rsidRPr="00830B2B">
        <w:rPr>
          <w:rFonts w:cs="Arial"/>
          <w:sz w:val="22"/>
        </w:rPr>
        <w:t xml:space="preserve">or the Faculty Deans </w:t>
      </w:r>
      <w:r w:rsidRPr="00830B2B">
        <w:rPr>
          <w:rFonts w:cs="Arial"/>
          <w:sz w:val="22"/>
        </w:rPr>
        <w:t xml:space="preserve">for support in planning, </w:t>
      </w:r>
      <w:r w:rsidR="008E207A" w:rsidRPr="00830B2B">
        <w:rPr>
          <w:rFonts w:cs="Arial"/>
          <w:sz w:val="22"/>
        </w:rPr>
        <w:t>designing,</w:t>
      </w:r>
      <w:r w:rsidRPr="00830B2B">
        <w:rPr>
          <w:rFonts w:cs="Arial"/>
          <w:sz w:val="22"/>
        </w:rPr>
        <w:t xml:space="preserve"> and implementing the </w:t>
      </w:r>
      <w:r w:rsidR="005557A3" w:rsidRPr="00830B2B">
        <w:rPr>
          <w:rFonts w:cs="Arial"/>
          <w:sz w:val="22"/>
        </w:rPr>
        <w:t>approach</w:t>
      </w:r>
      <w:r w:rsidRPr="00830B2B">
        <w:rPr>
          <w:rFonts w:cs="Arial"/>
          <w:sz w:val="22"/>
        </w:rPr>
        <w:t xml:space="preserve"> as well as reflecting on current teaching, learning and assessment methods.</w:t>
      </w:r>
    </w:p>
    <w:p w14:paraId="6FD94792" w14:textId="1A14E935" w:rsidR="00942DA9" w:rsidRPr="00830B2B" w:rsidRDefault="00942DA9" w:rsidP="00E776F4">
      <w:pPr>
        <w:spacing w:after="200" w:line="360" w:lineRule="auto"/>
        <w:rPr>
          <w:rFonts w:cs="Arial"/>
          <w:sz w:val="22"/>
        </w:rPr>
      </w:pPr>
      <w:r w:rsidRPr="00830B2B">
        <w:rPr>
          <w:rFonts w:cs="Arial"/>
          <w:sz w:val="22"/>
        </w:rPr>
        <w:t>QUAD have developed an example template which can be adapted for departments.</w:t>
      </w:r>
    </w:p>
    <w:p w14:paraId="787655B5" w14:textId="3A3FBFFA" w:rsidR="004F4BF3" w:rsidRPr="00830B2B" w:rsidRDefault="004F4BF3" w:rsidP="00E776F4">
      <w:pPr>
        <w:spacing w:line="360" w:lineRule="auto"/>
        <w:rPr>
          <w:rFonts w:cs="Arial"/>
          <w:b/>
          <w:bCs/>
          <w:sz w:val="22"/>
        </w:rPr>
      </w:pPr>
      <w:r w:rsidRPr="00830B2B">
        <w:rPr>
          <w:rFonts w:cs="Arial"/>
          <w:b/>
          <w:bCs/>
          <w:sz w:val="22"/>
        </w:rPr>
        <w:t>Useful resource weblinks:</w:t>
      </w:r>
    </w:p>
    <w:p w14:paraId="6EC2FD82" w14:textId="77777777" w:rsidR="004F4BF3" w:rsidRPr="00830B2B" w:rsidRDefault="004F4BF3" w:rsidP="00E776F4">
      <w:pPr>
        <w:spacing w:line="360" w:lineRule="auto"/>
        <w:rPr>
          <w:sz w:val="22"/>
        </w:rPr>
      </w:pPr>
      <w:r w:rsidRPr="00830B2B">
        <w:rPr>
          <w:sz w:val="22"/>
        </w:rPr>
        <w:t>Policy/strategy documents:</w:t>
      </w:r>
    </w:p>
    <w:p w14:paraId="49844EB3" w14:textId="77777777" w:rsidR="004F4BF3" w:rsidRPr="00830B2B" w:rsidRDefault="00000000" w:rsidP="00E776F4">
      <w:pPr>
        <w:spacing w:line="360" w:lineRule="auto"/>
        <w:rPr>
          <w:rFonts w:cs="Arial"/>
          <w:sz w:val="22"/>
        </w:rPr>
      </w:pPr>
      <w:hyperlink r:id="rId18" w:history="1">
        <w:r w:rsidR="004F4BF3" w:rsidRPr="00830B2B">
          <w:rPr>
            <w:rStyle w:val="Hyperlink"/>
            <w:rFonts w:cs="Arial"/>
            <w:sz w:val="22"/>
          </w:rPr>
          <w:t>Assessment policy</w:t>
        </w:r>
      </w:hyperlink>
    </w:p>
    <w:p w14:paraId="73CC0736" w14:textId="77777777" w:rsidR="004F4BF3" w:rsidRPr="00830B2B" w:rsidRDefault="00000000" w:rsidP="00E776F4">
      <w:pPr>
        <w:spacing w:line="360" w:lineRule="auto"/>
        <w:rPr>
          <w:rFonts w:cs="Arial"/>
          <w:sz w:val="22"/>
        </w:rPr>
      </w:pPr>
      <w:hyperlink r:id="rId19" w:history="1">
        <w:r w:rsidR="004F4BF3" w:rsidRPr="00830B2B">
          <w:rPr>
            <w:rStyle w:val="Hyperlink"/>
            <w:rFonts w:cs="Arial"/>
            <w:sz w:val="22"/>
          </w:rPr>
          <w:t>Assessment feedback policy</w:t>
        </w:r>
      </w:hyperlink>
    </w:p>
    <w:p w14:paraId="753D88D1" w14:textId="4C563325" w:rsidR="004F4BF3" w:rsidRDefault="00000000" w:rsidP="00E776F4">
      <w:pPr>
        <w:spacing w:line="360" w:lineRule="auto"/>
        <w:rPr>
          <w:rStyle w:val="Hyperlink"/>
          <w:rFonts w:cs="Arial"/>
          <w:sz w:val="22"/>
        </w:rPr>
      </w:pPr>
      <w:hyperlink r:id="rId20" w:history="1">
        <w:r w:rsidR="004F4BF3" w:rsidRPr="001A576D">
          <w:rPr>
            <w:rStyle w:val="Hyperlink"/>
            <w:rFonts w:cs="Arial"/>
            <w:sz w:val="22"/>
          </w:rPr>
          <w:t>Marking policy</w:t>
        </w:r>
      </w:hyperlink>
    </w:p>
    <w:p w14:paraId="30146476" w14:textId="1A11D196" w:rsidR="001A576D" w:rsidRPr="00830B2B" w:rsidRDefault="001A576D" w:rsidP="00E776F4">
      <w:pPr>
        <w:spacing w:line="360" w:lineRule="auto"/>
        <w:rPr>
          <w:rFonts w:cs="Arial"/>
          <w:sz w:val="22"/>
        </w:rPr>
      </w:pPr>
      <w:r>
        <w:rPr>
          <w:rFonts w:cs="Arial"/>
          <w:sz w:val="22"/>
        </w:rPr>
        <w:t xml:space="preserve">University </w:t>
      </w:r>
      <w:hyperlink r:id="rId21" w:history="1">
        <w:r w:rsidRPr="001A576D">
          <w:rPr>
            <w:rStyle w:val="Hyperlink"/>
            <w:rFonts w:cs="Arial"/>
            <w:sz w:val="22"/>
          </w:rPr>
          <w:t>strategic plans</w:t>
        </w:r>
      </w:hyperlink>
      <w:r>
        <w:rPr>
          <w:rFonts w:cs="Arial"/>
          <w:sz w:val="22"/>
        </w:rPr>
        <w:t>:</w:t>
      </w:r>
    </w:p>
    <w:p w14:paraId="54B6B0D6" w14:textId="6DFA421A" w:rsidR="004F4BF3" w:rsidRPr="001A576D" w:rsidRDefault="004F4BF3" w:rsidP="001A576D">
      <w:pPr>
        <w:pStyle w:val="ListParagraph"/>
        <w:numPr>
          <w:ilvl w:val="0"/>
          <w:numId w:val="18"/>
        </w:numPr>
        <w:spacing w:line="360" w:lineRule="auto"/>
        <w:rPr>
          <w:rFonts w:cs="Arial"/>
          <w:sz w:val="22"/>
        </w:rPr>
      </w:pPr>
      <w:r w:rsidRPr="001A576D">
        <w:rPr>
          <w:rFonts w:cs="Arial"/>
          <w:sz w:val="22"/>
        </w:rPr>
        <w:t xml:space="preserve">Education Strategy  </w:t>
      </w:r>
    </w:p>
    <w:p w14:paraId="64AC23F9" w14:textId="63314FDF" w:rsidR="00E776F4" w:rsidRPr="001A576D" w:rsidRDefault="00E776F4" w:rsidP="001A576D">
      <w:pPr>
        <w:pStyle w:val="ListParagraph"/>
        <w:numPr>
          <w:ilvl w:val="0"/>
          <w:numId w:val="18"/>
        </w:numPr>
        <w:spacing w:line="360" w:lineRule="auto"/>
        <w:rPr>
          <w:rStyle w:val="Hyperlink"/>
          <w:rFonts w:cs="Arial"/>
          <w:color w:val="auto"/>
          <w:sz w:val="22"/>
          <w:u w:val="none"/>
        </w:rPr>
      </w:pPr>
      <w:r w:rsidRPr="001A576D">
        <w:rPr>
          <w:rFonts w:cs="Arial"/>
          <w:sz w:val="22"/>
        </w:rPr>
        <w:t xml:space="preserve">Education Action Plan </w:t>
      </w:r>
    </w:p>
    <w:p w14:paraId="3AED04E3" w14:textId="5B638FA5" w:rsidR="00E776F4" w:rsidRPr="001A576D" w:rsidRDefault="00E776F4" w:rsidP="001A576D">
      <w:pPr>
        <w:pStyle w:val="ListParagraph"/>
        <w:numPr>
          <w:ilvl w:val="0"/>
          <w:numId w:val="18"/>
        </w:numPr>
        <w:spacing w:line="360" w:lineRule="auto"/>
        <w:rPr>
          <w:rStyle w:val="Hyperlink"/>
          <w:rFonts w:cs="Arial"/>
          <w:color w:val="auto"/>
          <w:sz w:val="22"/>
          <w:u w:val="none"/>
        </w:rPr>
      </w:pPr>
      <w:r w:rsidRPr="001A576D">
        <w:rPr>
          <w:rFonts w:cs="Arial"/>
          <w:sz w:val="22"/>
        </w:rPr>
        <w:t xml:space="preserve">Research Action Plan </w:t>
      </w:r>
    </w:p>
    <w:p w14:paraId="5A3DA336" w14:textId="24F8A0AF" w:rsidR="004F4BF3" w:rsidRPr="00830B2B" w:rsidRDefault="00000000" w:rsidP="00E776F4">
      <w:pPr>
        <w:spacing w:line="360" w:lineRule="auto"/>
        <w:rPr>
          <w:rStyle w:val="Hyperlink"/>
          <w:rFonts w:cs="Arial"/>
          <w:sz w:val="22"/>
        </w:rPr>
      </w:pPr>
      <w:hyperlink r:id="rId22" w:history="1">
        <w:r w:rsidR="004F4BF3" w:rsidRPr="00830B2B">
          <w:rPr>
            <w:rStyle w:val="Hyperlink"/>
            <w:rFonts w:cs="Arial"/>
            <w:sz w:val="22"/>
          </w:rPr>
          <w:t>Sustainability / Environmental considerations</w:t>
        </w:r>
      </w:hyperlink>
    </w:p>
    <w:p w14:paraId="7139161D" w14:textId="73C7D88A" w:rsidR="0029710A" w:rsidRPr="00830B2B" w:rsidRDefault="00000000" w:rsidP="00E776F4">
      <w:pPr>
        <w:spacing w:line="360" w:lineRule="auto"/>
        <w:rPr>
          <w:rStyle w:val="Hyperlink"/>
          <w:rFonts w:cs="Arial"/>
          <w:sz w:val="22"/>
        </w:rPr>
      </w:pPr>
      <w:hyperlink r:id="rId23" w:history="1">
        <w:r w:rsidR="0029710A" w:rsidRPr="001A576D">
          <w:rPr>
            <w:rStyle w:val="Hyperlink"/>
            <w:rFonts w:cs="Arial"/>
            <w:sz w:val="22"/>
          </w:rPr>
          <w:t>Code of Practice for Research Degrees</w:t>
        </w:r>
      </w:hyperlink>
    </w:p>
    <w:p w14:paraId="5FAB804C" w14:textId="42C0CAAA" w:rsidR="0029710A" w:rsidRPr="00830B2B" w:rsidRDefault="00000000" w:rsidP="00E776F4">
      <w:pPr>
        <w:spacing w:line="360" w:lineRule="auto"/>
        <w:rPr>
          <w:rFonts w:cs="Arial"/>
          <w:sz w:val="22"/>
        </w:rPr>
      </w:pPr>
      <w:hyperlink r:id="rId24" w:history="1">
        <w:r w:rsidR="00533400" w:rsidRPr="00533400">
          <w:rPr>
            <w:rStyle w:val="Hyperlink"/>
            <w:rFonts w:cs="Arial"/>
            <w:sz w:val="22"/>
          </w:rPr>
          <w:t>Regulations relating to academic affairs and research degrees</w:t>
        </w:r>
      </w:hyperlink>
    </w:p>
    <w:p w14:paraId="09AB3725" w14:textId="77777777" w:rsidR="004F4BF3" w:rsidRPr="00830B2B" w:rsidRDefault="004F4BF3" w:rsidP="00E776F4">
      <w:pPr>
        <w:spacing w:line="360" w:lineRule="auto"/>
        <w:rPr>
          <w:rFonts w:cs="Arial"/>
          <w:sz w:val="22"/>
        </w:rPr>
      </w:pPr>
    </w:p>
    <w:p w14:paraId="6F940EAB" w14:textId="0315D3AD" w:rsidR="008E20E9" w:rsidRPr="00830B2B" w:rsidRDefault="008E20E9" w:rsidP="00E776F4">
      <w:pPr>
        <w:spacing w:line="360" w:lineRule="auto"/>
        <w:rPr>
          <w:rFonts w:cs="Arial"/>
          <w:b/>
          <w:bCs/>
          <w:sz w:val="22"/>
        </w:rPr>
      </w:pPr>
      <w:r w:rsidRPr="00830B2B">
        <w:rPr>
          <w:rFonts w:cs="Arial"/>
          <w:b/>
          <w:bCs/>
          <w:sz w:val="22"/>
        </w:rPr>
        <w:t xml:space="preserve">Organisational Development </w:t>
      </w:r>
      <w:hyperlink r:id="rId25" w:history="1">
        <w:r w:rsidRPr="00955E0F">
          <w:rPr>
            <w:rStyle w:val="Hyperlink"/>
            <w:rFonts w:cs="Arial"/>
            <w:b/>
            <w:bCs/>
            <w:sz w:val="22"/>
          </w:rPr>
          <w:t>Guidance</w:t>
        </w:r>
        <w:r w:rsidR="004E4638" w:rsidRPr="00955E0F">
          <w:rPr>
            <w:rStyle w:val="Hyperlink"/>
            <w:rFonts w:cs="Arial"/>
            <w:b/>
            <w:bCs/>
            <w:sz w:val="22"/>
          </w:rPr>
          <w:t xml:space="preserve"> and Resources</w:t>
        </w:r>
      </w:hyperlink>
      <w:r w:rsidRPr="00830B2B">
        <w:rPr>
          <w:rFonts w:cs="Arial"/>
          <w:b/>
          <w:bCs/>
          <w:sz w:val="22"/>
        </w:rPr>
        <w:t>:</w:t>
      </w:r>
    </w:p>
    <w:p w14:paraId="7AEEFAD9" w14:textId="77777777" w:rsidR="00955E0F" w:rsidRDefault="00000000" w:rsidP="00E776F4">
      <w:pPr>
        <w:pStyle w:val="ListParagraph"/>
        <w:numPr>
          <w:ilvl w:val="0"/>
          <w:numId w:val="19"/>
        </w:numPr>
        <w:spacing w:line="360" w:lineRule="auto"/>
        <w:rPr>
          <w:rFonts w:cs="Arial"/>
          <w:sz w:val="22"/>
        </w:rPr>
      </w:pPr>
      <w:hyperlink r:id="rId26" w:history="1">
        <w:r w:rsidR="00114064" w:rsidRPr="00955E0F">
          <w:rPr>
            <w:rStyle w:val="Hyperlink"/>
            <w:rFonts w:cs="Arial"/>
            <w:sz w:val="22"/>
          </w:rPr>
          <w:t>Education Insights series</w:t>
        </w:r>
      </w:hyperlink>
      <w:r w:rsidR="00114064" w:rsidRPr="00955E0F">
        <w:rPr>
          <w:rFonts w:cs="Arial"/>
          <w:sz w:val="22"/>
        </w:rPr>
        <w:t xml:space="preserve"> - The sessions cover a range of topics from new teaching introductory session to module design, delivery of teaching and assessment strategies. </w:t>
      </w:r>
    </w:p>
    <w:p w14:paraId="353C7289" w14:textId="77777777" w:rsidR="00955E0F" w:rsidRDefault="00114064" w:rsidP="00E776F4">
      <w:pPr>
        <w:pStyle w:val="ListParagraph"/>
        <w:numPr>
          <w:ilvl w:val="0"/>
          <w:numId w:val="19"/>
        </w:numPr>
        <w:spacing w:line="360" w:lineRule="auto"/>
        <w:rPr>
          <w:rFonts w:cs="Arial"/>
          <w:sz w:val="22"/>
        </w:rPr>
      </w:pPr>
      <w:r w:rsidRPr="00955E0F">
        <w:rPr>
          <w:rFonts w:cs="Arial"/>
          <w:sz w:val="22"/>
        </w:rPr>
        <w:t>Group coaching for educators - This is an initiative by Organisational Development to support all academics and student-facing staff with teaching responsibilities. This initiative combines the benefits of coaching with effective professional development through a personalised experience, collaborative learning, contextualised and practice-oriented development. Staff can directly book to attend via HR organiser (</w:t>
      </w:r>
      <w:proofErr w:type="spellStart"/>
      <w:r w:rsidRPr="00955E0F">
        <w:rPr>
          <w:rFonts w:cs="Arial"/>
          <w:sz w:val="22"/>
        </w:rPr>
        <w:t>iTrent</w:t>
      </w:r>
      <w:proofErr w:type="spellEnd"/>
      <w:r w:rsidRPr="00955E0F">
        <w:rPr>
          <w:rFonts w:cs="Arial"/>
          <w:sz w:val="22"/>
        </w:rPr>
        <w:t xml:space="preserve">). </w:t>
      </w:r>
      <w:r w:rsidR="008E20E9" w:rsidRPr="00955E0F">
        <w:rPr>
          <w:rFonts w:cs="Arial"/>
          <w:sz w:val="22"/>
        </w:rPr>
        <w:t xml:space="preserve"> </w:t>
      </w:r>
    </w:p>
    <w:p w14:paraId="6142F13B" w14:textId="77777777" w:rsidR="00955E0F" w:rsidRDefault="00000000" w:rsidP="00E776F4">
      <w:pPr>
        <w:pStyle w:val="ListParagraph"/>
        <w:numPr>
          <w:ilvl w:val="0"/>
          <w:numId w:val="19"/>
        </w:numPr>
        <w:spacing w:line="360" w:lineRule="auto"/>
        <w:rPr>
          <w:rFonts w:cs="Arial"/>
          <w:sz w:val="22"/>
        </w:rPr>
      </w:pPr>
      <w:hyperlink r:id="rId27" w:history="1">
        <w:r w:rsidR="00114064" w:rsidRPr="00955E0F">
          <w:rPr>
            <w:rStyle w:val="Hyperlink"/>
            <w:rFonts w:cs="Arial"/>
            <w:sz w:val="22"/>
          </w:rPr>
          <w:t xml:space="preserve">Peer Review Policy and the use of Peer Exchange Network </w:t>
        </w:r>
      </w:hyperlink>
      <w:r w:rsidR="00114064" w:rsidRPr="00955E0F">
        <w:rPr>
          <w:rFonts w:cs="Arial"/>
          <w:sz w:val="22"/>
        </w:rPr>
        <w:t>- This is to facilitate peer observations and foster conversations about teaching and learning by pairing academic colleagues (new and experienced).</w:t>
      </w:r>
    </w:p>
    <w:p w14:paraId="168B212C" w14:textId="77777777" w:rsidR="00955E0F" w:rsidRDefault="00114064" w:rsidP="00E776F4">
      <w:pPr>
        <w:pStyle w:val="ListParagraph"/>
        <w:numPr>
          <w:ilvl w:val="0"/>
          <w:numId w:val="19"/>
        </w:numPr>
        <w:spacing w:line="360" w:lineRule="auto"/>
        <w:rPr>
          <w:rFonts w:cs="Arial"/>
          <w:sz w:val="22"/>
        </w:rPr>
      </w:pPr>
      <w:r w:rsidRPr="00955E0F">
        <w:rPr>
          <w:rFonts w:cs="Arial"/>
          <w:sz w:val="22"/>
        </w:rPr>
        <w:t xml:space="preserve">Support for colleagues to reflect on their practices through </w:t>
      </w:r>
      <w:r w:rsidR="008E207A" w:rsidRPr="00955E0F">
        <w:rPr>
          <w:rFonts w:cs="Arial"/>
          <w:sz w:val="22"/>
        </w:rPr>
        <w:t>Organisational Development’s</w:t>
      </w:r>
      <w:r w:rsidRPr="00955E0F">
        <w:rPr>
          <w:rFonts w:cs="Arial"/>
          <w:sz w:val="22"/>
        </w:rPr>
        <w:t xml:space="preserve"> Pathways to Fellowship: PG CHEP, PG </w:t>
      </w:r>
      <w:proofErr w:type="spellStart"/>
      <w:r w:rsidRPr="00955E0F">
        <w:rPr>
          <w:rFonts w:cs="Arial"/>
          <w:sz w:val="22"/>
        </w:rPr>
        <w:t>MaCE</w:t>
      </w:r>
      <w:proofErr w:type="spellEnd"/>
      <w:r w:rsidRPr="00955E0F">
        <w:rPr>
          <w:rFonts w:cs="Arial"/>
          <w:sz w:val="22"/>
        </w:rPr>
        <w:t xml:space="preserve">, and CADENZA. The </w:t>
      </w:r>
      <w:r w:rsidR="008E207A" w:rsidRPr="00955E0F">
        <w:rPr>
          <w:rFonts w:cs="Arial"/>
          <w:sz w:val="22"/>
        </w:rPr>
        <w:lastRenderedPageBreak/>
        <w:t>C</w:t>
      </w:r>
      <w:r w:rsidRPr="00955E0F">
        <w:rPr>
          <w:rFonts w:cs="Arial"/>
          <w:sz w:val="22"/>
        </w:rPr>
        <w:t xml:space="preserve">adenza team can provide vital information to faculties around levels of engagements with these programmes and good practice information.  </w:t>
      </w:r>
    </w:p>
    <w:p w14:paraId="7B1B32C6" w14:textId="77777777" w:rsidR="00955E0F" w:rsidRDefault="00114064" w:rsidP="00E776F4">
      <w:pPr>
        <w:pStyle w:val="ListParagraph"/>
        <w:numPr>
          <w:ilvl w:val="0"/>
          <w:numId w:val="19"/>
        </w:numPr>
        <w:spacing w:line="360" w:lineRule="auto"/>
        <w:rPr>
          <w:rFonts w:cs="Arial"/>
          <w:sz w:val="22"/>
        </w:rPr>
      </w:pPr>
      <w:r w:rsidRPr="00955E0F">
        <w:rPr>
          <w:rFonts w:cs="Arial"/>
          <w:sz w:val="22"/>
        </w:rPr>
        <w:t xml:space="preserve">There are </w:t>
      </w:r>
      <w:hyperlink r:id="rId28" w:history="1">
        <w:r w:rsidRPr="00955E0F">
          <w:rPr>
            <w:rStyle w:val="Hyperlink"/>
            <w:rFonts w:cs="Arial"/>
            <w:sz w:val="22"/>
          </w:rPr>
          <w:t>resources on technology enhanced learning developed by TEL team</w:t>
        </w:r>
      </w:hyperlink>
      <w:r w:rsidRPr="00955E0F">
        <w:rPr>
          <w:rFonts w:cs="Arial"/>
          <w:sz w:val="22"/>
        </w:rPr>
        <w:t>. These cover a wide range of topics from using our VLE (Moodle baseline for modules), to increasing student engagement tools (poll everywhere), using zoom for online learning and teaching and dual delivery. Please liaise with the team for more information (</w:t>
      </w:r>
      <w:hyperlink r:id="rId29" w:history="1">
        <w:r w:rsidR="008E20E9" w:rsidRPr="00955E0F">
          <w:rPr>
            <w:rStyle w:val="Hyperlink"/>
            <w:rFonts w:cs="Arial"/>
            <w:sz w:val="22"/>
          </w:rPr>
          <w:t>tel@essex.ac.uk</w:t>
        </w:r>
      </w:hyperlink>
      <w:r w:rsidRPr="00955E0F">
        <w:rPr>
          <w:rFonts w:cs="Arial"/>
          <w:sz w:val="22"/>
        </w:rPr>
        <w:t>).</w:t>
      </w:r>
    </w:p>
    <w:p w14:paraId="710DCBE2" w14:textId="6D77C4DA" w:rsidR="008E20E9" w:rsidRPr="00955E0F" w:rsidRDefault="00047D13" w:rsidP="00E776F4">
      <w:pPr>
        <w:pStyle w:val="ListParagraph"/>
        <w:numPr>
          <w:ilvl w:val="0"/>
          <w:numId w:val="19"/>
        </w:numPr>
        <w:spacing w:line="360" w:lineRule="auto"/>
        <w:rPr>
          <w:rFonts w:cs="Arial"/>
          <w:sz w:val="22"/>
        </w:rPr>
      </w:pPr>
      <w:r w:rsidRPr="00955E0F">
        <w:rPr>
          <w:rFonts w:cs="Arial"/>
          <w:sz w:val="22"/>
        </w:rPr>
        <w:t xml:space="preserve">There are also specific postgraduate research resources available - </w:t>
      </w:r>
      <w:hyperlink r:id="rId30" w:history="1">
        <w:r w:rsidRPr="00955E0F">
          <w:rPr>
            <w:rStyle w:val="Hyperlink"/>
            <w:rFonts w:cs="Arial"/>
            <w:sz w:val="22"/>
          </w:rPr>
          <w:t>Supervising Postgraduate Research Students Moodle resource</w:t>
        </w:r>
      </w:hyperlink>
      <w:r w:rsidRPr="00955E0F">
        <w:rPr>
          <w:rFonts w:cs="Arial"/>
          <w:sz w:val="22"/>
        </w:rPr>
        <w:t xml:space="preserve"> and </w:t>
      </w:r>
      <w:hyperlink r:id="rId31" w:history="1">
        <w:r w:rsidRPr="00955E0F">
          <w:rPr>
            <w:rStyle w:val="Hyperlink"/>
            <w:rFonts w:cs="Arial"/>
            <w:sz w:val="22"/>
          </w:rPr>
          <w:t>Vitae UK</w:t>
        </w:r>
      </w:hyperlink>
      <w:r w:rsidRPr="00955E0F">
        <w:rPr>
          <w:rFonts w:cs="Arial"/>
          <w:sz w:val="22"/>
        </w:rPr>
        <w:t xml:space="preserve"> (which includes opportunities for further training and colleagues can register for membership as an University of Essex employee). </w:t>
      </w:r>
    </w:p>
    <w:p w14:paraId="285B1D62" w14:textId="77777777" w:rsidR="00955E0F" w:rsidRPr="00955E0F" w:rsidRDefault="00955E0F" w:rsidP="00955E0F">
      <w:pPr>
        <w:spacing w:line="360" w:lineRule="auto"/>
        <w:rPr>
          <w:rFonts w:cs="Arial"/>
          <w:sz w:val="22"/>
        </w:rPr>
      </w:pPr>
    </w:p>
    <w:p w14:paraId="7CB01923" w14:textId="2F14062D" w:rsidR="008E20E9" w:rsidRPr="00830B2B" w:rsidRDefault="008E20E9" w:rsidP="00E776F4">
      <w:pPr>
        <w:spacing w:after="200" w:line="360" w:lineRule="auto"/>
        <w:rPr>
          <w:rFonts w:cs="Arial"/>
          <w:b/>
          <w:bCs/>
          <w:sz w:val="22"/>
        </w:rPr>
      </w:pPr>
      <w:r w:rsidRPr="00830B2B">
        <w:rPr>
          <w:rFonts w:cs="Arial"/>
          <w:b/>
          <w:bCs/>
          <w:sz w:val="22"/>
        </w:rPr>
        <w:t>Student Wellbeing and Inclusion Service Guidance</w:t>
      </w:r>
      <w:r w:rsidR="004E4638" w:rsidRPr="00830B2B">
        <w:rPr>
          <w:rFonts w:cs="Arial"/>
          <w:b/>
          <w:bCs/>
          <w:sz w:val="22"/>
        </w:rPr>
        <w:t xml:space="preserve"> and Resources</w:t>
      </w:r>
      <w:r w:rsidRPr="00830B2B">
        <w:rPr>
          <w:rFonts w:cs="Arial"/>
          <w:b/>
          <w:bCs/>
          <w:sz w:val="22"/>
        </w:rPr>
        <w:t>:</w:t>
      </w:r>
    </w:p>
    <w:p w14:paraId="27D7324B" w14:textId="77777777" w:rsidR="00114064" w:rsidRPr="00955E0F" w:rsidRDefault="00000000" w:rsidP="00955E0F">
      <w:pPr>
        <w:pStyle w:val="ListParagraph"/>
        <w:numPr>
          <w:ilvl w:val="0"/>
          <w:numId w:val="20"/>
        </w:numPr>
        <w:spacing w:line="360" w:lineRule="auto"/>
        <w:rPr>
          <w:rFonts w:cs="Arial"/>
          <w:sz w:val="22"/>
        </w:rPr>
      </w:pPr>
      <w:hyperlink r:id="rId32" w:history="1">
        <w:r w:rsidR="00114064" w:rsidRPr="00955E0F">
          <w:rPr>
            <w:rStyle w:val="Hyperlink"/>
            <w:rFonts w:cs="Arial"/>
            <w:sz w:val="22"/>
          </w:rPr>
          <w:t>Guidance</w:t>
        </w:r>
      </w:hyperlink>
      <w:r w:rsidR="00114064" w:rsidRPr="00955E0F">
        <w:rPr>
          <w:rFonts w:cs="Arial"/>
          <w:sz w:val="22"/>
        </w:rPr>
        <w:t xml:space="preserve"> for ensuring your teaching practice is inclusive for disabled students</w:t>
      </w:r>
    </w:p>
    <w:p w14:paraId="05B13D0B" w14:textId="77777777" w:rsidR="00114064" w:rsidRPr="00955E0F" w:rsidRDefault="00114064" w:rsidP="00955E0F">
      <w:pPr>
        <w:pStyle w:val="ListParagraph"/>
        <w:numPr>
          <w:ilvl w:val="0"/>
          <w:numId w:val="20"/>
        </w:numPr>
        <w:spacing w:line="360" w:lineRule="auto"/>
        <w:rPr>
          <w:rFonts w:cs="Arial"/>
          <w:sz w:val="22"/>
        </w:rPr>
      </w:pPr>
      <w:r w:rsidRPr="00955E0F">
        <w:rPr>
          <w:rFonts w:cs="Arial"/>
          <w:sz w:val="22"/>
        </w:rPr>
        <w:t xml:space="preserve">University </w:t>
      </w:r>
      <w:hyperlink r:id="rId33" w:history="1">
        <w:r w:rsidRPr="00955E0F">
          <w:rPr>
            <w:rStyle w:val="Hyperlink"/>
            <w:rFonts w:cs="Arial"/>
            <w:sz w:val="22"/>
          </w:rPr>
          <w:t>anti-racism resources</w:t>
        </w:r>
      </w:hyperlink>
      <w:r w:rsidRPr="00955E0F">
        <w:rPr>
          <w:rFonts w:cs="Arial"/>
          <w:sz w:val="22"/>
        </w:rPr>
        <w:t xml:space="preserve"> including </w:t>
      </w:r>
      <w:hyperlink r:id="rId34" w:history="1">
        <w:r w:rsidRPr="00955E0F">
          <w:rPr>
            <w:rStyle w:val="Hyperlink"/>
            <w:rFonts w:cs="Arial"/>
            <w:sz w:val="22"/>
          </w:rPr>
          <w:t>Talis</w:t>
        </w:r>
      </w:hyperlink>
      <w:r w:rsidRPr="00955E0F">
        <w:rPr>
          <w:rFonts w:cs="Arial"/>
          <w:sz w:val="22"/>
        </w:rPr>
        <w:t xml:space="preserve"> and specifically the Black Lives Matter </w:t>
      </w:r>
      <w:hyperlink r:id="rId35" w:history="1">
        <w:r w:rsidRPr="00955E0F">
          <w:rPr>
            <w:rStyle w:val="Hyperlink"/>
            <w:rFonts w:cs="Arial"/>
            <w:sz w:val="22"/>
          </w:rPr>
          <w:t>reading list</w:t>
        </w:r>
      </w:hyperlink>
      <w:r w:rsidRPr="00955E0F">
        <w:rPr>
          <w:rFonts w:cs="Arial"/>
          <w:sz w:val="22"/>
        </w:rPr>
        <w:t>.</w:t>
      </w:r>
    </w:p>
    <w:p w14:paraId="7B7F81A5" w14:textId="77777777" w:rsidR="00114064" w:rsidRPr="00955E0F" w:rsidRDefault="00114064" w:rsidP="00955E0F">
      <w:pPr>
        <w:pStyle w:val="ListParagraph"/>
        <w:numPr>
          <w:ilvl w:val="0"/>
          <w:numId w:val="20"/>
        </w:numPr>
        <w:spacing w:line="360" w:lineRule="auto"/>
        <w:rPr>
          <w:rFonts w:cs="Arial"/>
          <w:sz w:val="22"/>
        </w:rPr>
      </w:pPr>
      <w:r w:rsidRPr="00955E0F">
        <w:rPr>
          <w:rFonts w:cs="Arial"/>
          <w:sz w:val="22"/>
        </w:rPr>
        <w:t xml:space="preserve">Library resources for </w:t>
      </w:r>
      <w:hyperlink r:id="rId36" w:history="1">
        <w:r w:rsidRPr="00955E0F">
          <w:rPr>
            <w:rStyle w:val="Hyperlink"/>
            <w:rFonts w:cs="Arial"/>
            <w:sz w:val="22"/>
          </w:rPr>
          <w:t>decolonising the curriculum</w:t>
        </w:r>
      </w:hyperlink>
    </w:p>
    <w:p w14:paraId="268AE175" w14:textId="77777777" w:rsidR="00E776F4" w:rsidRPr="00955E0F" w:rsidRDefault="00000000" w:rsidP="00955E0F">
      <w:pPr>
        <w:pStyle w:val="ListParagraph"/>
        <w:numPr>
          <w:ilvl w:val="0"/>
          <w:numId w:val="20"/>
        </w:numPr>
        <w:spacing w:line="360" w:lineRule="auto"/>
        <w:rPr>
          <w:rFonts w:cs="Arial"/>
          <w:sz w:val="22"/>
        </w:rPr>
      </w:pPr>
      <w:hyperlink r:id="rId37" w:history="1">
        <w:r w:rsidR="00114064" w:rsidRPr="00955E0F">
          <w:rPr>
            <w:rStyle w:val="Hyperlink"/>
            <w:rFonts w:cs="Arial"/>
            <w:sz w:val="22"/>
          </w:rPr>
          <w:t>Web accessibility guidance</w:t>
        </w:r>
      </w:hyperlink>
      <w:r w:rsidR="00114064" w:rsidRPr="00955E0F">
        <w:rPr>
          <w:rFonts w:cs="Arial"/>
          <w:sz w:val="22"/>
        </w:rPr>
        <w:t xml:space="preserve"> and </w:t>
      </w:r>
      <w:hyperlink r:id="rId38" w:history="1">
        <w:r w:rsidR="00114064" w:rsidRPr="00955E0F">
          <w:rPr>
            <w:rStyle w:val="Hyperlink"/>
            <w:rFonts w:cs="Arial"/>
            <w:sz w:val="22"/>
          </w:rPr>
          <w:t>writing for the web</w:t>
        </w:r>
      </w:hyperlink>
    </w:p>
    <w:p w14:paraId="26BAEC89" w14:textId="2499467E" w:rsidR="00B46BB9" w:rsidRDefault="008E20E9" w:rsidP="00854D67">
      <w:pPr>
        <w:spacing w:line="360" w:lineRule="auto"/>
        <w:rPr>
          <w:rStyle w:val="Hyperlink"/>
          <w:rFonts w:cs="Arial"/>
          <w:color w:val="auto"/>
          <w:sz w:val="22"/>
          <w:u w:val="none"/>
        </w:rPr>
      </w:pPr>
      <w:r w:rsidRPr="00830B2B">
        <w:rPr>
          <w:rFonts w:cs="Arial"/>
          <w:sz w:val="22"/>
        </w:rPr>
        <w:t xml:space="preserve">For more information on inclusivity please contact the Inclusivity Lead in your department or the </w:t>
      </w:r>
      <w:hyperlink r:id="rId39" w:history="1">
        <w:r w:rsidRPr="00830B2B">
          <w:rPr>
            <w:rStyle w:val="Hyperlink"/>
            <w:rFonts w:cs="Arial"/>
            <w:sz w:val="22"/>
          </w:rPr>
          <w:t>Student Wellbeing and Inclusion Service</w:t>
        </w:r>
      </w:hyperlink>
      <w:r w:rsidR="00854D67">
        <w:rPr>
          <w:rStyle w:val="Hyperlink"/>
          <w:rFonts w:cs="Arial"/>
          <w:color w:val="auto"/>
          <w:sz w:val="22"/>
          <w:u w:val="none"/>
        </w:rPr>
        <w:t>.</w:t>
      </w:r>
    </w:p>
    <w:p w14:paraId="27321875" w14:textId="77777777" w:rsidR="00854D67" w:rsidRPr="00854D67" w:rsidRDefault="00854D67" w:rsidP="00854D67">
      <w:pPr>
        <w:spacing w:line="360" w:lineRule="auto"/>
        <w:rPr>
          <w:rStyle w:val="Hyperlink"/>
          <w:rFonts w:cs="Arial"/>
          <w:color w:val="auto"/>
          <w:sz w:val="22"/>
          <w:u w:val="none"/>
        </w:rPr>
      </w:pPr>
    </w:p>
    <w:tbl>
      <w:tblPr>
        <w:tblW w:w="0" w:type="auto"/>
        <w:jc w:val="center"/>
        <w:tblCellMar>
          <w:left w:w="0" w:type="dxa"/>
          <w:right w:w="0" w:type="dxa"/>
        </w:tblCellMar>
        <w:tblLook w:val="04A0" w:firstRow="1" w:lastRow="0" w:firstColumn="1" w:lastColumn="0" w:noHBand="0" w:noVBand="1"/>
        <w:tblCaption w:val="Document review information (for internal University of Essex audit purposes)"/>
      </w:tblPr>
      <w:tblGrid>
        <w:gridCol w:w="2258"/>
        <w:gridCol w:w="5680"/>
      </w:tblGrid>
      <w:tr w:rsidR="00B46BB9" w14:paraId="78BDAD18" w14:textId="77777777" w:rsidTr="00B46BB9">
        <w:trPr>
          <w:jc w:val="center"/>
        </w:trPr>
        <w:tc>
          <w:tcPr>
            <w:tcW w:w="7938" w:type="dxa"/>
            <w:gridSpan w:val="2"/>
            <w:tcBorders>
              <w:top w:val="single" w:sz="8" w:space="0" w:color="auto"/>
              <w:left w:val="single" w:sz="8" w:space="0" w:color="auto"/>
              <w:bottom w:val="single" w:sz="8" w:space="0" w:color="auto"/>
              <w:right w:val="single" w:sz="8" w:space="0" w:color="auto"/>
            </w:tcBorders>
            <w:shd w:val="clear" w:color="auto" w:fill="612467"/>
            <w:tcMar>
              <w:top w:w="0" w:type="dxa"/>
              <w:left w:w="108" w:type="dxa"/>
              <w:bottom w:w="0" w:type="dxa"/>
              <w:right w:w="108" w:type="dxa"/>
            </w:tcMar>
            <w:vAlign w:val="center"/>
            <w:hideMark/>
          </w:tcPr>
          <w:p w14:paraId="7624B196" w14:textId="77777777" w:rsidR="00B46BB9" w:rsidRDefault="00B46BB9">
            <w:pPr>
              <w:snapToGrid w:val="0"/>
              <w:spacing w:line="312" w:lineRule="auto"/>
              <w:jc w:val="both"/>
              <w:rPr>
                <w:rFonts w:ascii="Arial Black" w:eastAsiaTheme="minorHAnsi" w:hAnsi="Arial Black"/>
                <w:color w:val="FFFFFF"/>
                <w:szCs w:val="20"/>
              </w:rPr>
            </w:pPr>
            <w:r>
              <w:rPr>
                <w:rFonts w:cs="Arial"/>
                <w:color w:val="FFFFFF"/>
                <w:szCs w:val="20"/>
              </w:rPr>
              <w:t>Document review information</w:t>
            </w:r>
          </w:p>
        </w:tc>
      </w:tr>
      <w:tr w:rsidR="00B46BB9" w14:paraId="52CAD9F7" w14:textId="77777777" w:rsidTr="00955E0F">
        <w:trPr>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65740" w14:textId="77777777" w:rsidR="00B46BB9" w:rsidRDefault="00B46BB9">
            <w:pPr>
              <w:snapToGrid w:val="0"/>
              <w:spacing w:line="312" w:lineRule="auto"/>
              <w:rPr>
                <w:rFonts w:cs="Arial"/>
                <w:color w:val="000000"/>
                <w:szCs w:val="20"/>
              </w:rPr>
            </w:pPr>
            <w:r>
              <w:rPr>
                <w:rFonts w:cs="Arial"/>
                <w:b/>
                <w:bCs/>
                <w:color w:val="000000"/>
                <w:szCs w:val="20"/>
              </w:rPr>
              <w:t>Document Owner</w:t>
            </w:r>
          </w:p>
        </w:tc>
        <w:tc>
          <w:tcPr>
            <w:tcW w:w="5680" w:type="dxa"/>
            <w:tcBorders>
              <w:top w:val="nil"/>
              <w:left w:val="nil"/>
              <w:bottom w:val="single" w:sz="8" w:space="0" w:color="auto"/>
              <w:right w:val="single" w:sz="8" w:space="0" w:color="auto"/>
            </w:tcBorders>
            <w:tcMar>
              <w:top w:w="0" w:type="dxa"/>
              <w:left w:w="108" w:type="dxa"/>
              <w:bottom w:w="0" w:type="dxa"/>
              <w:right w:w="108" w:type="dxa"/>
            </w:tcMar>
            <w:hideMark/>
          </w:tcPr>
          <w:p w14:paraId="4B6DEA85" w14:textId="77777777" w:rsidR="00B46BB9" w:rsidRDefault="00B46BB9">
            <w:pPr>
              <w:snapToGrid w:val="0"/>
              <w:spacing w:line="312" w:lineRule="auto"/>
              <w:rPr>
                <w:rFonts w:cs="Arial"/>
                <w:color w:val="000000"/>
                <w:szCs w:val="20"/>
              </w:rPr>
            </w:pPr>
            <w:r>
              <w:rPr>
                <w:rFonts w:cs="Arial"/>
                <w:color w:val="000000"/>
                <w:szCs w:val="20"/>
              </w:rPr>
              <w:t>Quality and Academic Development</w:t>
            </w:r>
          </w:p>
        </w:tc>
      </w:tr>
      <w:tr w:rsidR="00B46BB9" w14:paraId="18F0892B" w14:textId="77777777" w:rsidTr="00955E0F">
        <w:trPr>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8B6EA" w14:textId="77777777" w:rsidR="00B46BB9" w:rsidRDefault="00B46BB9">
            <w:pPr>
              <w:snapToGrid w:val="0"/>
              <w:spacing w:line="312" w:lineRule="auto"/>
              <w:rPr>
                <w:rFonts w:cs="Arial"/>
                <w:b/>
                <w:bCs/>
                <w:color w:val="000000"/>
                <w:szCs w:val="20"/>
              </w:rPr>
            </w:pPr>
            <w:r>
              <w:rPr>
                <w:rFonts w:cs="Arial"/>
                <w:b/>
                <w:bCs/>
                <w:color w:val="000000"/>
                <w:szCs w:val="20"/>
              </w:rPr>
              <w:t>Document Author</w:t>
            </w:r>
          </w:p>
        </w:tc>
        <w:tc>
          <w:tcPr>
            <w:tcW w:w="5680" w:type="dxa"/>
            <w:tcBorders>
              <w:top w:val="nil"/>
              <w:left w:val="nil"/>
              <w:bottom w:val="single" w:sz="8" w:space="0" w:color="auto"/>
              <w:right w:val="single" w:sz="8" w:space="0" w:color="auto"/>
            </w:tcBorders>
            <w:tcMar>
              <w:top w:w="0" w:type="dxa"/>
              <w:left w:w="108" w:type="dxa"/>
              <w:bottom w:w="0" w:type="dxa"/>
              <w:right w:w="108" w:type="dxa"/>
            </w:tcMar>
            <w:hideMark/>
          </w:tcPr>
          <w:p w14:paraId="0E2E1537" w14:textId="77777777" w:rsidR="00B46BB9" w:rsidRDefault="00B46BB9">
            <w:pPr>
              <w:snapToGrid w:val="0"/>
              <w:spacing w:line="312" w:lineRule="auto"/>
              <w:rPr>
                <w:rFonts w:cs="Arial"/>
                <w:color w:val="000000"/>
                <w:szCs w:val="20"/>
              </w:rPr>
            </w:pPr>
            <w:r>
              <w:rPr>
                <w:rFonts w:cs="Arial"/>
                <w:color w:val="000000"/>
                <w:szCs w:val="20"/>
              </w:rPr>
              <w:t>Quality and Academic Development</w:t>
            </w:r>
          </w:p>
        </w:tc>
      </w:tr>
      <w:tr w:rsidR="00B46BB9" w14:paraId="5EC3A6BE" w14:textId="77777777" w:rsidTr="00955E0F">
        <w:trPr>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AF436" w14:textId="77777777" w:rsidR="00B46BB9" w:rsidRDefault="00B46BB9">
            <w:pPr>
              <w:snapToGrid w:val="0"/>
              <w:spacing w:line="312" w:lineRule="auto"/>
              <w:rPr>
                <w:rFonts w:cs="Arial"/>
                <w:b/>
                <w:bCs/>
                <w:color w:val="000000"/>
                <w:szCs w:val="20"/>
              </w:rPr>
            </w:pPr>
            <w:r>
              <w:rPr>
                <w:rFonts w:cs="Arial"/>
                <w:b/>
                <w:bCs/>
                <w:color w:val="000000"/>
                <w:szCs w:val="20"/>
              </w:rPr>
              <w:t>Document last reviewed by</w:t>
            </w:r>
          </w:p>
        </w:tc>
        <w:tc>
          <w:tcPr>
            <w:tcW w:w="5680" w:type="dxa"/>
            <w:tcBorders>
              <w:top w:val="nil"/>
              <w:left w:val="nil"/>
              <w:bottom w:val="single" w:sz="8" w:space="0" w:color="auto"/>
              <w:right w:val="single" w:sz="8" w:space="0" w:color="auto"/>
            </w:tcBorders>
            <w:tcMar>
              <w:top w:w="0" w:type="dxa"/>
              <w:left w:w="108" w:type="dxa"/>
              <w:bottom w:w="0" w:type="dxa"/>
              <w:right w:w="108" w:type="dxa"/>
            </w:tcMar>
            <w:hideMark/>
          </w:tcPr>
          <w:p w14:paraId="2B07A14C" w14:textId="534BB965" w:rsidR="00B46BB9" w:rsidRDefault="00E776F4">
            <w:pPr>
              <w:snapToGrid w:val="0"/>
              <w:spacing w:line="312" w:lineRule="auto"/>
              <w:rPr>
                <w:rFonts w:cs="Arial"/>
                <w:color w:val="000000"/>
                <w:szCs w:val="20"/>
              </w:rPr>
            </w:pPr>
            <w:r>
              <w:rPr>
                <w:rFonts w:cs="Arial"/>
                <w:color w:val="000000"/>
                <w:szCs w:val="20"/>
              </w:rPr>
              <w:t>A</w:t>
            </w:r>
            <w:r>
              <w:rPr>
                <w:color w:val="000000"/>
                <w:szCs w:val="20"/>
              </w:rPr>
              <w:t>minah Suhail, Quality and Academic Development Manager</w:t>
            </w:r>
          </w:p>
        </w:tc>
      </w:tr>
      <w:tr w:rsidR="00B46BB9" w14:paraId="470C5285" w14:textId="77777777" w:rsidTr="00955E0F">
        <w:trPr>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0A177" w14:textId="77777777" w:rsidR="00B46BB9" w:rsidRDefault="00B46BB9">
            <w:pPr>
              <w:snapToGrid w:val="0"/>
              <w:spacing w:line="312" w:lineRule="auto"/>
              <w:rPr>
                <w:rFonts w:cs="Arial"/>
                <w:b/>
                <w:bCs/>
                <w:color w:val="000000"/>
                <w:szCs w:val="20"/>
              </w:rPr>
            </w:pPr>
            <w:r>
              <w:rPr>
                <w:rFonts w:cs="Arial"/>
                <w:b/>
                <w:bCs/>
                <w:color w:val="000000"/>
                <w:szCs w:val="20"/>
              </w:rPr>
              <w:t>Date last reviewed by</w:t>
            </w:r>
          </w:p>
        </w:tc>
        <w:tc>
          <w:tcPr>
            <w:tcW w:w="5680" w:type="dxa"/>
            <w:tcBorders>
              <w:top w:val="nil"/>
              <w:left w:val="nil"/>
              <w:bottom w:val="single" w:sz="8" w:space="0" w:color="auto"/>
              <w:right w:val="single" w:sz="8" w:space="0" w:color="auto"/>
            </w:tcBorders>
            <w:tcMar>
              <w:top w:w="0" w:type="dxa"/>
              <w:left w:w="108" w:type="dxa"/>
              <w:bottom w:w="0" w:type="dxa"/>
              <w:right w:w="108" w:type="dxa"/>
            </w:tcMar>
            <w:hideMark/>
          </w:tcPr>
          <w:p w14:paraId="4E9F0EEC" w14:textId="3C4F3E27" w:rsidR="00B46BB9" w:rsidRDefault="00955762">
            <w:pPr>
              <w:snapToGrid w:val="0"/>
              <w:spacing w:line="312" w:lineRule="auto"/>
              <w:rPr>
                <w:rFonts w:cs="Arial"/>
                <w:color w:val="000000"/>
                <w:szCs w:val="20"/>
              </w:rPr>
            </w:pPr>
            <w:r>
              <w:rPr>
                <w:rFonts w:cs="Arial"/>
                <w:color w:val="000000"/>
                <w:szCs w:val="20"/>
              </w:rPr>
              <w:t>October 2024</w:t>
            </w:r>
          </w:p>
        </w:tc>
      </w:tr>
      <w:tr w:rsidR="00B46BB9" w14:paraId="03DB44DC" w14:textId="77777777" w:rsidTr="00955E0F">
        <w:trPr>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898A" w14:textId="77777777" w:rsidR="00B46BB9" w:rsidRDefault="00B46BB9">
            <w:pPr>
              <w:snapToGrid w:val="0"/>
              <w:spacing w:line="312" w:lineRule="auto"/>
              <w:rPr>
                <w:rFonts w:cs="Arial"/>
                <w:b/>
                <w:bCs/>
                <w:color w:val="000000"/>
                <w:szCs w:val="20"/>
              </w:rPr>
            </w:pPr>
            <w:r>
              <w:rPr>
                <w:rFonts w:cs="Arial"/>
                <w:b/>
                <w:bCs/>
                <w:color w:val="000000"/>
                <w:szCs w:val="20"/>
              </w:rPr>
              <w:t>Review frequency</w:t>
            </w:r>
          </w:p>
        </w:tc>
        <w:tc>
          <w:tcPr>
            <w:tcW w:w="5680" w:type="dxa"/>
            <w:tcBorders>
              <w:top w:val="nil"/>
              <w:left w:val="nil"/>
              <w:bottom w:val="single" w:sz="8" w:space="0" w:color="auto"/>
              <w:right w:val="single" w:sz="8" w:space="0" w:color="auto"/>
            </w:tcBorders>
            <w:tcMar>
              <w:top w:w="0" w:type="dxa"/>
              <w:left w:w="108" w:type="dxa"/>
              <w:bottom w:w="0" w:type="dxa"/>
              <w:right w:w="108" w:type="dxa"/>
            </w:tcMar>
            <w:hideMark/>
          </w:tcPr>
          <w:p w14:paraId="61974913" w14:textId="77777777" w:rsidR="00B46BB9" w:rsidRDefault="00B46BB9">
            <w:pPr>
              <w:snapToGrid w:val="0"/>
              <w:spacing w:line="312" w:lineRule="auto"/>
              <w:rPr>
                <w:rFonts w:cs="Arial"/>
                <w:color w:val="000000"/>
                <w:szCs w:val="20"/>
              </w:rPr>
            </w:pPr>
            <w:r>
              <w:rPr>
                <w:rFonts w:cs="Arial"/>
                <w:color w:val="000000"/>
                <w:szCs w:val="20"/>
              </w:rPr>
              <w:t>Annually</w:t>
            </w:r>
          </w:p>
        </w:tc>
      </w:tr>
    </w:tbl>
    <w:p w14:paraId="66E92402" w14:textId="77777777" w:rsidR="00B46BB9" w:rsidRDefault="00B46BB9">
      <w:pPr>
        <w:spacing w:after="200" w:line="276" w:lineRule="auto"/>
        <w:rPr>
          <w:rFonts w:cs="Arial"/>
          <w:sz w:val="22"/>
        </w:rPr>
      </w:pPr>
    </w:p>
    <w:sectPr w:rsidR="00B46BB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BE85" w14:textId="77777777" w:rsidR="006B1D81" w:rsidRDefault="006B1D81" w:rsidP="00A467B7">
      <w:r>
        <w:separator/>
      </w:r>
    </w:p>
  </w:endnote>
  <w:endnote w:type="continuationSeparator" w:id="0">
    <w:p w14:paraId="26FD342C" w14:textId="77777777" w:rsidR="006B1D81" w:rsidRDefault="006B1D81" w:rsidP="00A4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874992"/>
      <w:docPartObj>
        <w:docPartGallery w:val="Page Numbers (Bottom of Page)"/>
        <w:docPartUnique/>
      </w:docPartObj>
    </w:sdtPr>
    <w:sdtEndPr>
      <w:rPr>
        <w:noProof/>
      </w:rPr>
    </w:sdtEndPr>
    <w:sdtContent>
      <w:p w14:paraId="05C4B7C3" w14:textId="7D26E8E3" w:rsidR="00A467B7" w:rsidRDefault="00A46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4FF14" w14:textId="77777777" w:rsidR="00A467B7" w:rsidRDefault="00A467B7" w:rsidP="00A467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4B72" w14:textId="77777777" w:rsidR="006B1D81" w:rsidRDefault="006B1D81" w:rsidP="00A467B7">
      <w:r>
        <w:separator/>
      </w:r>
    </w:p>
  </w:footnote>
  <w:footnote w:type="continuationSeparator" w:id="0">
    <w:p w14:paraId="47CD8BB2" w14:textId="77777777" w:rsidR="006B1D81" w:rsidRDefault="006B1D81" w:rsidP="00A46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E20"/>
    <w:multiLevelType w:val="hybridMultilevel"/>
    <w:tmpl w:val="9DA068E2"/>
    <w:lvl w:ilvl="0" w:tplc="46A802BE">
      <w:start w:val="1"/>
      <w:numFmt w:val="bullet"/>
      <w:lvlText w:val=""/>
      <w:lvlJc w:val="left"/>
      <w:pPr>
        <w:ind w:left="1080" w:hanging="360"/>
      </w:pPr>
      <w:rPr>
        <w:rFonts w:ascii="Wingdings" w:hAnsi="Wingdings" w:hint="default"/>
        <w:sz w:val="36"/>
        <w:szCs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0B189A"/>
    <w:multiLevelType w:val="hybridMultilevel"/>
    <w:tmpl w:val="F356B1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74112"/>
    <w:multiLevelType w:val="hybridMultilevel"/>
    <w:tmpl w:val="D624AC5A"/>
    <w:lvl w:ilvl="0" w:tplc="984661FE">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F5816"/>
    <w:multiLevelType w:val="hybridMultilevel"/>
    <w:tmpl w:val="40963A18"/>
    <w:lvl w:ilvl="0" w:tplc="0BA2A138">
      <w:start w:val="1"/>
      <w:numFmt w:val="bullet"/>
      <w:lvlText w:val=""/>
      <w:lvlJc w:val="left"/>
      <w:pPr>
        <w:ind w:left="1080" w:hanging="360"/>
      </w:pPr>
      <w:rPr>
        <w:rFonts w:ascii="Wingdings" w:hAnsi="Wingdings" w:hint="default"/>
        <w:color w:val="auto"/>
        <w:sz w:val="36"/>
        <w:szCs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856165"/>
    <w:multiLevelType w:val="hybridMultilevel"/>
    <w:tmpl w:val="6B6C8AF0"/>
    <w:lvl w:ilvl="0" w:tplc="7F1A7598">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13DCC"/>
    <w:multiLevelType w:val="hybridMultilevel"/>
    <w:tmpl w:val="E16A4FBC"/>
    <w:lvl w:ilvl="0" w:tplc="69A69828">
      <w:start w:val="1"/>
      <w:numFmt w:val="bullet"/>
      <w:lvlText w:val=""/>
      <w:lvlJc w:val="left"/>
      <w:pPr>
        <w:ind w:left="1080" w:hanging="360"/>
      </w:pPr>
      <w:rPr>
        <w:rFonts w:ascii="Wingdings" w:hAnsi="Wingdings" w:hint="default"/>
        <w:color w:val="auto"/>
        <w:sz w:val="36"/>
        <w:szCs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763390"/>
    <w:multiLevelType w:val="hybridMultilevel"/>
    <w:tmpl w:val="A54E50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0B7295"/>
    <w:multiLevelType w:val="hybridMultilevel"/>
    <w:tmpl w:val="97F63852"/>
    <w:lvl w:ilvl="0" w:tplc="1D2EC7E6">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60994"/>
    <w:multiLevelType w:val="hybridMultilevel"/>
    <w:tmpl w:val="584CB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BE378D"/>
    <w:multiLevelType w:val="hybridMultilevel"/>
    <w:tmpl w:val="5358DCEE"/>
    <w:lvl w:ilvl="0" w:tplc="4440BE6E">
      <w:start w:val="1"/>
      <w:numFmt w:val="bullet"/>
      <w:lvlText w:val=""/>
      <w:lvlJc w:val="left"/>
      <w:pPr>
        <w:ind w:left="1080" w:hanging="360"/>
      </w:pPr>
      <w:rPr>
        <w:rFonts w:ascii="Wingdings" w:hAnsi="Wingdings" w:hint="default"/>
        <w:sz w:val="36"/>
        <w:szCs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E27E76"/>
    <w:multiLevelType w:val="multilevel"/>
    <w:tmpl w:val="FA3A254A"/>
    <w:lvl w:ilvl="0">
      <w:start w:val="3"/>
      <w:numFmt w:val="decimal"/>
      <w:lvlText w:val="%1)"/>
      <w:lvlJc w:val="left"/>
      <w:pPr>
        <w:ind w:left="72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4AEF01DC"/>
    <w:multiLevelType w:val="hybridMultilevel"/>
    <w:tmpl w:val="560C6EF0"/>
    <w:lvl w:ilvl="0" w:tplc="512A4568">
      <w:start w:val="1"/>
      <w:numFmt w:val="bullet"/>
      <w:lvlText w:val=""/>
      <w:lvlJc w:val="left"/>
      <w:pPr>
        <w:ind w:left="1080" w:hanging="360"/>
      </w:pPr>
      <w:rPr>
        <w:rFonts w:ascii="Wingdings" w:hAnsi="Wingdings" w:hint="default"/>
        <w:color w:val="auto"/>
        <w:sz w:val="36"/>
        <w:szCs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975A62"/>
    <w:multiLevelType w:val="hybridMultilevel"/>
    <w:tmpl w:val="548293A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3FB1AE0"/>
    <w:multiLevelType w:val="hybridMultilevel"/>
    <w:tmpl w:val="7C74F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6B28E2"/>
    <w:multiLevelType w:val="hybridMultilevel"/>
    <w:tmpl w:val="48B6BF08"/>
    <w:lvl w:ilvl="0" w:tplc="441C4618">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07431"/>
    <w:multiLevelType w:val="hybridMultilevel"/>
    <w:tmpl w:val="EEBE835A"/>
    <w:lvl w:ilvl="0" w:tplc="A01CE3B6">
      <w:start w:val="1"/>
      <w:numFmt w:val="bullet"/>
      <w:lvlText w:val=""/>
      <w:lvlJc w:val="left"/>
      <w:pPr>
        <w:ind w:left="1080" w:hanging="360"/>
      </w:pPr>
      <w:rPr>
        <w:rFonts w:ascii="Wingdings" w:hAnsi="Wingdings" w:hint="default"/>
        <w:sz w:val="36"/>
        <w:szCs w:val="36"/>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7D6770"/>
    <w:multiLevelType w:val="hybridMultilevel"/>
    <w:tmpl w:val="977E3990"/>
    <w:lvl w:ilvl="0" w:tplc="D85A7BD8">
      <w:start w:val="1"/>
      <w:numFmt w:val="bullet"/>
      <w:lvlText w:val=""/>
      <w:lvlJc w:val="left"/>
      <w:pPr>
        <w:ind w:left="1080" w:hanging="360"/>
      </w:pPr>
      <w:rPr>
        <w:rFonts w:ascii="Wingdings" w:hAnsi="Wingdings" w:hint="default"/>
        <w:sz w:val="36"/>
        <w:szCs w:val="36"/>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BDC1A01"/>
    <w:multiLevelType w:val="hybridMultilevel"/>
    <w:tmpl w:val="5B728FEE"/>
    <w:lvl w:ilvl="0" w:tplc="FEF0FA14">
      <w:start w:val="1"/>
      <w:numFmt w:val="bullet"/>
      <w:lvlText w:val=""/>
      <w:lvlJc w:val="left"/>
      <w:pPr>
        <w:ind w:left="720" w:hanging="360"/>
      </w:pPr>
      <w:rPr>
        <w:rFonts w:ascii="Wingdings" w:hAnsi="Wingdings" w:hint="default"/>
        <w:sz w:val="36"/>
        <w:szCs w:val="3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03721E"/>
    <w:multiLevelType w:val="hybridMultilevel"/>
    <w:tmpl w:val="9134F56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196243"/>
    <w:multiLevelType w:val="hybridMultilevel"/>
    <w:tmpl w:val="73F27D4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10127471">
    <w:abstractNumId w:val="3"/>
  </w:num>
  <w:num w:numId="2" w16cid:durableId="1497644607">
    <w:abstractNumId w:val="5"/>
  </w:num>
  <w:num w:numId="3" w16cid:durableId="1597715160">
    <w:abstractNumId w:val="16"/>
  </w:num>
  <w:num w:numId="4" w16cid:durableId="2061518765">
    <w:abstractNumId w:val="6"/>
  </w:num>
  <w:num w:numId="5" w16cid:durableId="2013482559">
    <w:abstractNumId w:val="11"/>
  </w:num>
  <w:num w:numId="6" w16cid:durableId="1006402423">
    <w:abstractNumId w:val="10"/>
  </w:num>
  <w:num w:numId="7" w16cid:durableId="1500924615">
    <w:abstractNumId w:val="9"/>
  </w:num>
  <w:num w:numId="8" w16cid:durableId="623577765">
    <w:abstractNumId w:val="15"/>
  </w:num>
  <w:num w:numId="9" w16cid:durableId="1355568768">
    <w:abstractNumId w:val="18"/>
  </w:num>
  <w:num w:numId="10" w16cid:durableId="1472869558">
    <w:abstractNumId w:val="0"/>
  </w:num>
  <w:num w:numId="11" w16cid:durableId="2082436342">
    <w:abstractNumId w:val="12"/>
  </w:num>
  <w:num w:numId="12" w16cid:durableId="1810131778">
    <w:abstractNumId w:val="19"/>
  </w:num>
  <w:num w:numId="13" w16cid:durableId="1936286184">
    <w:abstractNumId w:val="2"/>
  </w:num>
  <w:num w:numId="14" w16cid:durableId="23024268">
    <w:abstractNumId w:val="4"/>
  </w:num>
  <w:num w:numId="15" w16cid:durableId="1582137200">
    <w:abstractNumId w:val="17"/>
  </w:num>
  <w:num w:numId="16" w16cid:durableId="52386613">
    <w:abstractNumId w:val="14"/>
  </w:num>
  <w:num w:numId="17" w16cid:durableId="113445447">
    <w:abstractNumId w:val="7"/>
  </w:num>
  <w:num w:numId="18" w16cid:durableId="1669559313">
    <w:abstractNumId w:val="1"/>
  </w:num>
  <w:num w:numId="19" w16cid:durableId="2033871269">
    <w:abstractNumId w:val="8"/>
  </w:num>
  <w:num w:numId="20" w16cid:durableId="141219947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82"/>
    <w:rsid w:val="0000516E"/>
    <w:rsid w:val="000178A4"/>
    <w:rsid w:val="00033BF7"/>
    <w:rsid w:val="000425A3"/>
    <w:rsid w:val="00047D13"/>
    <w:rsid w:val="00051B9C"/>
    <w:rsid w:val="0006197D"/>
    <w:rsid w:val="00072613"/>
    <w:rsid w:val="000814D4"/>
    <w:rsid w:val="000820A2"/>
    <w:rsid w:val="00085BCA"/>
    <w:rsid w:val="00092D8A"/>
    <w:rsid w:val="00093082"/>
    <w:rsid w:val="000A1B57"/>
    <w:rsid w:val="000B43E1"/>
    <w:rsid w:val="000C4E71"/>
    <w:rsid w:val="000C723E"/>
    <w:rsid w:val="000F56FF"/>
    <w:rsid w:val="001050B9"/>
    <w:rsid w:val="00113AB3"/>
    <w:rsid w:val="00114064"/>
    <w:rsid w:val="001325AB"/>
    <w:rsid w:val="00146BCB"/>
    <w:rsid w:val="001753A7"/>
    <w:rsid w:val="00192571"/>
    <w:rsid w:val="0019280E"/>
    <w:rsid w:val="001974C7"/>
    <w:rsid w:val="001A388C"/>
    <w:rsid w:val="001A576D"/>
    <w:rsid w:val="001B358E"/>
    <w:rsid w:val="001B4E4D"/>
    <w:rsid w:val="001B6357"/>
    <w:rsid w:val="001D6EAD"/>
    <w:rsid w:val="001F4DA1"/>
    <w:rsid w:val="001F6A95"/>
    <w:rsid w:val="002001E5"/>
    <w:rsid w:val="00200FDE"/>
    <w:rsid w:val="0020135E"/>
    <w:rsid w:val="00201A40"/>
    <w:rsid w:val="00201E4E"/>
    <w:rsid w:val="0020376D"/>
    <w:rsid w:val="002243F1"/>
    <w:rsid w:val="0023193B"/>
    <w:rsid w:val="002529EF"/>
    <w:rsid w:val="002531A7"/>
    <w:rsid w:val="00254E6F"/>
    <w:rsid w:val="002625E5"/>
    <w:rsid w:val="0027344E"/>
    <w:rsid w:val="002810D5"/>
    <w:rsid w:val="00284C34"/>
    <w:rsid w:val="00287072"/>
    <w:rsid w:val="0029710A"/>
    <w:rsid w:val="002B023E"/>
    <w:rsid w:val="002B0B15"/>
    <w:rsid w:val="002B1D54"/>
    <w:rsid w:val="002B323A"/>
    <w:rsid w:val="002B3AEB"/>
    <w:rsid w:val="002D6340"/>
    <w:rsid w:val="002D6D3D"/>
    <w:rsid w:val="002E24E4"/>
    <w:rsid w:val="002F2F54"/>
    <w:rsid w:val="0030002F"/>
    <w:rsid w:val="00303856"/>
    <w:rsid w:val="0030576D"/>
    <w:rsid w:val="0030736A"/>
    <w:rsid w:val="00316C1D"/>
    <w:rsid w:val="0033158F"/>
    <w:rsid w:val="003404AC"/>
    <w:rsid w:val="00340F9A"/>
    <w:rsid w:val="00347851"/>
    <w:rsid w:val="00370A30"/>
    <w:rsid w:val="00372E6B"/>
    <w:rsid w:val="003758CB"/>
    <w:rsid w:val="00386B37"/>
    <w:rsid w:val="0039178B"/>
    <w:rsid w:val="00392402"/>
    <w:rsid w:val="003A76FD"/>
    <w:rsid w:val="003B4A22"/>
    <w:rsid w:val="003C23A3"/>
    <w:rsid w:val="003D7638"/>
    <w:rsid w:val="003E246E"/>
    <w:rsid w:val="003F282E"/>
    <w:rsid w:val="003F5D30"/>
    <w:rsid w:val="0040608D"/>
    <w:rsid w:val="00414A8E"/>
    <w:rsid w:val="0041698E"/>
    <w:rsid w:val="00416EAA"/>
    <w:rsid w:val="00420543"/>
    <w:rsid w:val="00425EB5"/>
    <w:rsid w:val="00427E5B"/>
    <w:rsid w:val="00436BD8"/>
    <w:rsid w:val="0043768F"/>
    <w:rsid w:val="00456F97"/>
    <w:rsid w:val="00466ED0"/>
    <w:rsid w:val="0047157D"/>
    <w:rsid w:val="004763C9"/>
    <w:rsid w:val="004A0896"/>
    <w:rsid w:val="004B3927"/>
    <w:rsid w:val="004D1DF4"/>
    <w:rsid w:val="004D1E14"/>
    <w:rsid w:val="004D57DC"/>
    <w:rsid w:val="004E4638"/>
    <w:rsid w:val="004E7E5D"/>
    <w:rsid w:val="004F3087"/>
    <w:rsid w:val="004F4BF3"/>
    <w:rsid w:val="004F6918"/>
    <w:rsid w:val="00500390"/>
    <w:rsid w:val="00502982"/>
    <w:rsid w:val="00512E7E"/>
    <w:rsid w:val="00527155"/>
    <w:rsid w:val="00533400"/>
    <w:rsid w:val="00541410"/>
    <w:rsid w:val="0054746A"/>
    <w:rsid w:val="00551D8F"/>
    <w:rsid w:val="005557A3"/>
    <w:rsid w:val="00562EF2"/>
    <w:rsid w:val="00573332"/>
    <w:rsid w:val="00582C83"/>
    <w:rsid w:val="00587434"/>
    <w:rsid w:val="0058783B"/>
    <w:rsid w:val="005A33CB"/>
    <w:rsid w:val="005B2904"/>
    <w:rsid w:val="005B6FDA"/>
    <w:rsid w:val="005C3737"/>
    <w:rsid w:val="005D2214"/>
    <w:rsid w:val="005D6FC6"/>
    <w:rsid w:val="005F1DEF"/>
    <w:rsid w:val="006014FA"/>
    <w:rsid w:val="00617F48"/>
    <w:rsid w:val="00636F8B"/>
    <w:rsid w:val="0066036C"/>
    <w:rsid w:val="00675FB1"/>
    <w:rsid w:val="0068033A"/>
    <w:rsid w:val="0068534E"/>
    <w:rsid w:val="006B1D81"/>
    <w:rsid w:val="006B77CD"/>
    <w:rsid w:val="006C288B"/>
    <w:rsid w:val="006C53DF"/>
    <w:rsid w:val="006C63DD"/>
    <w:rsid w:val="006C63FD"/>
    <w:rsid w:val="006C71EE"/>
    <w:rsid w:val="006D09D6"/>
    <w:rsid w:val="006D1A65"/>
    <w:rsid w:val="006E1ADC"/>
    <w:rsid w:val="006E52C7"/>
    <w:rsid w:val="006E7577"/>
    <w:rsid w:val="006F2D9C"/>
    <w:rsid w:val="00711F4E"/>
    <w:rsid w:val="00720FBF"/>
    <w:rsid w:val="00730F2A"/>
    <w:rsid w:val="00747A31"/>
    <w:rsid w:val="00764F87"/>
    <w:rsid w:val="00771FA8"/>
    <w:rsid w:val="00781942"/>
    <w:rsid w:val="00787821"/>
    <w:rsid w:val="00791B4F"/>
    <w:rsid w:val="007C6F65"/>
    <w:rsid w:val="007E4B55"/>
    <w:rsid w:val="007F0421"/>
    <w:rsid w:val="00814801"/>
    <w:rsid w:val="0082463F"/>
    <w:rsid w:val="00830469"/>
    <w:rsid w:val="00830B2B"/>
    <w:rsid w:val="0083266B"/>
    <w:rsid w:val="00854D67"/>
    <w:rsid w:val="0087605B"/>
    <w:rsid w:val="008A75A4"/>
    <w:rsid w:val="008B08FA"/>
    <w:rsid w:val="008B0982"/>
    <w:rsid w:val="008B4590"/>
    <w:rsid w:val="008C6F6C"/>
    <w:rsid w:val="008D0C67"/>
    <w:rsid w:val="008E207A"/>
    <w:rsid w:val="008E20E9"/>
    <w:rsid w:val="008E58DC"/>
    <w:rsid w:val="008E64C4"/>
    <w:rsid w:val="008E6FC8"/>
    <w:rsid w:val="00911A09"/>
    <w:rsid w:val="009133D9"/>
    <w:rsid w:val="00917A3F"/>
    <w:rsid w:val="009239C8"/>
    <w:rsid w:val="009410EC"/>
    <w:rsid w:val="00942DA9"/>
    <w:rsid w:val="009437FF"/>
    <w:rsid w:val="00955762"/>
    <w:rsid w:val="00955E0F"/>
    <w:rsid w:val="00964136"/>
    <w:rsid w:val="00985FD9"/>
    <w:rsid w:val="00992C4C"/>
    <w:rsid w:val="009A3EFC"/>
    <w:rsid w:val="009A6BA5"/>
    <w:rsid w:val="009B2BC5"/>
    <w:rsid w:val="009C3A71"/>
    <w:rsid w:val="009E0CEE"/>
    <w:rsid w:val="009E3C73"/>
    <w:rsid w:val="00A04393"/>
    <w:rsid w:val="00A070DE"/>
    <w:rsid w:val="00A11F79"/>
    <w:rsid w:val="00A33AB2"/>
    <w:rsid w:val="00A43E7C"/>
    <w:rsid w:val="00A467B7"/>
    <w:rsid w:val="00A659E6"/>
    <w:rsid w:val="00A709D5"/>
    <w:rsid w:val="00A84CBF"/>
    <w:rsid w:val="00A9165C"/>
    <w:rsid w:val="00AA3B59"/>
    <w:rsid w:val="00AB2939"/>
    <w:rsid w:val="00AC280D"/>
    <w:rsid w:val="00AC2E54"/>
    <w:rsid w:val="00AE7372"/>
    <w:rsid w:val="00B00440"/>
    <w:rsid w:val="00B01B0D"/>
    <w:rsid w:val="00B04C7E"/>
    <w:rsid w:val="00B108C3"/>
    <w:rsid w:val="00B22FC7"/>
    <w:rsid w:val="00B324DC"/>
    <w:rsid w:val="00B403B3"/>
    <w:rsid w:val="00B41709"/>
    <w:rsid w:val="00B46BB9"/>
    <w:rsid w:val="00B61580"/>
    <w:rsid w:val="00B66AF8"/>
    <w:rsid w:val="00B745C0"/>
    <w:rsid w:val="00B804A2"/>
    <w:rsid w:val="00B8368F"/>
    <w:rsid w:val="00BA6A69"/>
    <w:rsid w:val="00BB2F59"/>
    <w:rsid w:val="00BC4435"/>
    <w:rsid w:val="00BC65D2"/>
    <w:rsid w:val="00BF1EF8"/>
    <w:rsid w:val="00C256E4"/>
    <w:rsid w:val="00C306D9"/>
    <w:rsid w:val="00C32173"/>
    <w:rsid w:val="00C33565"/>
    <w:rsid w:val="00C51EBA"/>
    <w:rsid w:val="00C53B78"/>
    <w:rsid w:val="00C54D20"/>
    <w:rsid w:val="00C624C5"/>
    <w:rsid w:val="00C733F2"/>
    <w:rsid w:val="00C73610"/>
    <w:rsid w:val="00C76CF8"/>
    <w:rsid w:val="00C87584"/>
    <w:rsid w:val="00C9282C"/>
    <w:rsid w:val="00C958D8"/>
    <w:rsid w:val="00CD276A"/>
    <w:rsid w:val="00CD592C"/>
    <w:rsid w:val="00CF3E90"/>
    <w:rsid w:val="00D14549"/>
    <w:rsid w:val="00D145B5"/>
    <w:rsid w:val="00D55FCA"/>
    <w:rsid w:val="00D64778"/>
    <w:rsid w:val="00D6483B"/>
    <w:rsid w:val="00D94206"/>
    <w:rsid w:val="00D9739A"/>
    <w:rsid w:val="00DB2551"/>
    <w:rsid w:val="00DB3DE2"/>
    <w:rsid w:val="00DC4FDD"/>
    <w:rsid w:val="00DD0543"/>
    <w:rsid w:val="00DE0452"/>
    <w:rsid w:val="00DE7BBF"/>
    <w:rsid w:val="00DF0859"/>
    <w:rsid w:val="00DF2707"/>
    <w:rsid w:val="00DF606C"/>
    <w:rsid w:val="00E06911"/>
    <w:rsid w:val="00E30D16"/>
    <w:rsid w:val="00E71BFC"/>
    <w:rsid w:val="00E776F4"/>
    <w:rsid w:val="00ED7146"/>
    <w:rsid w:val="00F07843"/>
    <w:rsid w:val="00F31FC3"/>
    <w:rsid w:val="00F34B93"/>
    <w:rsid w:val="00F3752D"/>
    <w:rsid w:val="00F51E79"/>
    <w:rsid w:val="00F5339A"/>
    <w:rsid w:val="00F63D57"/>
    <w:rsid w:val="00F63F5C"/>
    <w:rsid w:val="00F7747F"/>
    <w:rsid w:val="00F84618"/>
    <w:rsid w:val="00F91485"/>
    <w:rsid w:val="00FC15B4"/>
    <w:rsid w:val="00FC34E8"/>
    <w:rsid w:val="00FD38BB"/>
    <w:rsid w:val="00FD4742"/>
    <w:rsid w:val="00FE2A87"/>
    <w:rsid w:val="00FE3B7F"/>
    <w:rsid w:val="00FF399C"/>
    <w:rsid w:val="00FF62C9"/>
    <w:rsid w:val="28148390"/>
    <w:rsid w:val="297E92ED"/>
    <w:rsid w:val="36E70A7B"/>
    <w:rsid w:val="47DAA4F7"/>
    <w:rsid w:val="6790F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F417"/>
  <w15:chartTrackingRefBased/>
  <w15:docId w15:val="{7BE2DB80-A087-4639-92C4-4F764FFD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982"/>
    <w:pPr>
      <w:spacing w:after="0" w:line="240" w:lineRule="auto"/>
    </w:pPr>
    <w:rPr>
      <w:rFonts w:ascii="Arial" w:eastAsia="Calibri" w:hAnsi="Arial" w:cs="Times New Roman"/>
      <w:sz w:val="20"/>
    </w:rPr>
  </w:style>
  <w:style w:type="paragraph" w:styleId="Heading1">
    <w:name w:val="heading 1"/>
    <w:basedOn w:val="Normal"/>
    <w:next w:val="Normal"/>
    <w:link w:val="Heading1Char"/>
    <w:uiPriority w:val="9"/>
    <w:qFormat/>
    <w:rsid w:val="002531A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502982"/>
    <w:pPr>
      <w:ind w:left="720"/>
      <w:contextualSpacing/>
    </w:pPr>
  </w:style>
  <w:style w:type="character" w:styleId="Hyperlink">
    <w:name w:val="Hyperlink"/>
    <w:basedOn w:val="DefaultParagraphFont"/>
    <w:uiPriority w:val="99"/>
    <w:unhideWhenUsed/>
    <w:rsid w:val="00992C4C"/>
    <w:rPr>
      <w:color w:val="0000FF" w:themeColor="hyperlink"/>
      <w:u w:val="single"/>
    </w:rPr>
  </w:style>
  <w:style w:type="character" w:styleId="UnresolvedMention">
    <w:name w:val="Unresolved Mention"/>
    <w:basedOn w:val="DefaultParagraphFont"/>
    <w:uiPriority w:val="99"/>
    <w:semiHidden/>
    <w:unhideWhenUsed/>
    <w:rsid w:val="00992C4C"/>
    <w:rPr>
      <w:color w:val="605E5C"/>
      <w:shd w:val="clear" w:color="auto" w:fill="E1DFDD"/>
    </w:rPr>
  </w:style>
  <w:style w:type="character" w:styleId="CommentReference">
    <w:name w:val="annotation reference"/>
    <w:basedOn w:val="DefaultParagraphFont"/>
    <w:uiPriority w:val="99"/>
    <w:semiHidden/>
    <w:unhideWhenUsed/>
    <w:rsid w:val="001D6EAD"/>
    <w:rPr>
      <w:sz w:val="16"/>
      <w:szCs w:val="16"/>
    </w:rPr>
  </w:style>
  <w:style w:type="paragraph" w:styleId="CommentText">
    <w:name w:val="annotation text"/>
    <w:basedOn w:val="Normal"/>
    <w:link w:val="CommentTextChar"/>
    <w:uiPriority w:val="99"/>
    <w:unhideWhenUsed/>
    <w:rsid w:val="001D6EAD"/>
    <w:rPr>
      <w:szCs w:val="20"/>
    </w:rPr>
  </w:style>
  <w:style w:type="character" w:customStyle="1" w:styleId="CommentTextChar">
    <w:name w:val="Comment Text Char"/>
    <w:basedOn w:val="DefaultParagraphFont"/>
    <w:link w:val="CommentText"/>
    <w:uiPriority w:val="99"/>
    <w:rsid w:val="001D6EAD"/>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D6EAD"/>
    <w:rPr>
      <w:b/>
      <w:bCs/>
    </w:rPr>
  </w:style>
  <w:style w:type="character" w:customStyle="1" w:styleId="CommentSubjectChar">
    <w:name w:val="Comment Subject Char"/>
    <w:basedOn w:val="CommentTextChar"/>
    <w:link w:val="CommentSubject"/>
    <w:uiPriority w:val="99"/>
    <w:semiHidden/>
    <w:rsid w:val="001D6EAD"/>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1D6E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EAD"/>
    <w:rPr>
      <w:rFonts w:ascii="Segoe UI" w:eastAsia="Calibri" w:hAnsi="Segoe UI" w:cs="Segoe UI"/>
      <w:sz w:val="18"/>
      <w:szCs w:val="18"/>
    </w:rPr>
  </w:style>
  <w:style w:type="paragraph" w:styleId="Header">
    <w:name w:val="header"/>
    <w:basedOn w:val="Normal"/>
    <w:link w:val="HeaderChar"/>
    <w:uiPriority w:val="99"/>
    <w:unhideWhenUsed/>
    <w:rsid w:val="00A467B7"/>
    <w:pPr>
      <w:tabs>
        <w:tab w:val="center" w:pos="4513"/>
        <w:tab w:val="right" w:pos="9026"/>
      </w:tabs>
    </w:pPr>
  </w:style>
  <w:style w:type="character" w:customStyle="1" w:styleId="HeaderChar">
    <w:name w:val="Header Char"/>
    <w:basedOn w:val="DefaultParagraphFont"/>
    <w:link w:val="Header"/>
    <w:uiPriority w:val="99"/>
    <w:rsid w:val="00A467B7"/>
    <w:rPr>
      <w:rFonts w:ascii="Arial" w:eastAsia="Calibri" w:hAnsi="Arial" w:cs="Times New Roman"/>
      <w:sz w:val="20"/>
    </w:rPr>
  </w:style>
  <w:style w:type="paragraph" w:styleId="Footer">
    <w:name w:val="footer"/>
    <w:basedOn w:val="Normal"/>
    <w:link w:val="FooterChar"/>
    <w:uiPriority w:val="99"/>
    <w:unhideWhenUsed/>
    <w:rsid w:val="00A467B7"/>
    <w:pPr>
      <w:tabs>
        <w:tab w:val="center" w:pos="4513"/>
        <w:tab w:val="right" w:pos="9026"/>
      </w:tabs>
    </w:pPr>
  </w:style>
  <w:style w:type="character" w:customStyle="1" w:styleId="FooterChar">
    <w:name w:val="Footer Char"/>
    <w:basedOn w:val="DefaultParagraphFont"/>
    <w:link w:val="Footer"/>
    <w:uiPriority w:val="99"/>
    <w:rsid w:val="00A467B7"/>
    <w:rPr>
      <w:rFonts w:ascii="Arial" w:eastAsia="Calibri" w:hAnsi="Arial" w:cs="Times New Roman"/>
      <w:sz w:val="20"/>
    </w:rPr>
  </w:style>
  <w:style w:type="character" w:styleId="FollowedHyperlink">
    <w:name w:val="FollowedHyperlink"/>
    <w:basedOn w:val="DefaultParagraphFont"/>
    <w:uiPriority w:val="99"/>
    <w:semiHidden/>
    <w:unhideWhenUsed/>
    <w:rsid w:val="008E207A"/>
    <w:rPr>
      <w:color w:val="800080" w:themeColor="followedHyperlink"/>
      <w:u w:val="single"/>
    </w:rPr>
  </w:style>
  <w:style w:type="character" w:customStyle="1" w:styleId="Heading1Char">
    <w:name w:val="Heading 1 Char"/>
    <w:basedOn w:val="DefaultParagraphFont"/>
    <w:link w:val="Heading1"/>
    <w:uiPriority w:val="9"/>
    <w:rsid w:val="002531A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85993">
      <w:bodyDiv w:val="1"/>
      <w:marLeft w:val="0"/>
      <w:marRight w:val="0"/>
      <w:marTop w:val="0"/>
      <w:marBottom w:val="0"/>
      <w:divBdr>
        <w:top w:val="none" w:sz="0" w:space="0" w:color="auto"/>
        <w:left w:val="none" w:sz="0" w:space="0" w:color="auto"/>
        <w:bottom w:val="none" w:sz="0" w:space="0" w:color="auto"/>
        <w:right w:val="none" w:sz="0" w:space="0" w:color="auto"/>
      </w:divBdr>
    </w:div>
    <w:div w:id="1359547137">
      <w:bodyDiv w:val="1"/>
      <w:marLeft w:val="0"/>
      <w:marRight w:val="0"/>
      <w:marTop w:val="0"/>
      <w:marBottom w:val="0"/>
      <w:divBdr>
        <w:top w:val="none" w:sz="0" w:space="0" w:color="auto"/>
        <w:left w:val="none" w:sz="0" w:space="0" w:color="auto"/>
        <w:bottom w:val="none" w:sz="0" w:space="0" w:color="auto"/>
        <w:right w:val="none" w:sz="0" w:space="0" w:color="auto"/>
      </w:divBdr>
    </w:div>
    <w:div w:id="1407801191">
      <w:bodyDiv w:val="1"/>
      <w:marLeft w:val="0"/>
      <w:marRight w:val="0"/>
      <w:marTop w:val="0"/>
      <w:marBottom w:val="0"/>
      <w:divBdr>
        <w:top w:val="none" w:sz="0" w:space="0" w:color="auto"/>
        <w:left w:val="none" w:sz="0" w:space="0" w:color="auto"/>
        <w:bottom w:val="none" w:sz="0" w:space="0" w:color="auto"/>
        <w:right w:val="none" w:sz="0" w:space="0" w:color="auto"/>
      </w:divBdr>
    </w:div>
    <w:div w:id="1639845867">
      <w:bodyDiv w:val="1"/>
      <w:marLeft w:val="0"/>
      <w:marRight w:val="0"/>
      <w:marTop w:val="0"/>
      <w:marBottom w:val="0"/>
      <w:divBdr>
        <w:top w:val="none" w:sz="0" w:space="0" w:color="auto"/>
        <w:left w:val="none" w:sz="0" w:space="0" w:color="auto"/>
        <w:bottom w:val="none" w:sz="0" w:space="0" w:color="auto"/>
        <w:right w:val="none" w:sz="0" w:space="0" w:color="auto"/>
      </w:divBdr>
    </w:div>
    <w:div w:id="1878351174">
      <w:bodyDiv w:val="1"/>
      <w:marLeft w:val="0"/>
      <w:marRight w:val="0"/>
      <w:marTop w:val="0"/>
      <w:marBottom w:val="0"/>
      <w:divBdr>
        <w:top w:val="none" w:sz="0" w:space="0" w:color="auto"/>
        <w:left w:val="none" w:sz="0" w:space="0" w:color="auto"/>
        <w:bottom w:val="none" w:sz="0" w:space="0" w:color="auto"/>
        <w:right w:val="none" w:sz="0" w:space="0" w:color="auto"/>
      </w:divBdr>
    </w:div>
    <w:div w:id="20259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sex.ac.uk/-/media/documents/about/governance/eap-2024-25.pdf" TargetMode="External"/><Relationship Id="rId18" Type="http://schemas.openxmlformats.org/officeDocument/2006/relationships/hyperlink" Target="https://www.essex.ac.uk/-/media/documents/directories/academic-section/academic-standards-and-quality/assessment-policies-summary.pdf" TargetMode="External"/><Relationship Id="rId26" Type="http://schemas.openxmlformats.org/officeDocument/2006/relationships/hyperlink" Target="https://moodle.essex.ac.uk/course/view.php?id=11896." TargetMode="External"/><Relationship Id="rId39" Type="http://schemas.openxmlformats.org/officeDocument/2006/relationships/hyperlink" Target="mailto:wellbeing@essex.ac.uk" TargetMode="External"/><Relationship Id="rId21" Type="http://schemas.openxmlformats.org/officeDocument/2006/relationships/hyperlink" Target="https://www.essex.ac.uk/staff/governance/university-strategic-plan" TargetMode="External"/><Relationship Id="rId34" Type="http://schemas.openxmlformats.org/officeDocument/2006/relationships/hyperlink" Target="https://rl.talis.com/3/essex/lists/81A0B6A4-B09C-5DE1-9C8E-519F0EC342A3.html?lang=en-US&amp;login=1%5C"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ssex.ac.uk/governance-and-strategy/governance/policies" TargetMode="External"/><Relationship Id="rId20" Type="http://schemas.openxmlformats.org/officeDocument/2006/relationships/hyperlink" Target="https://www.essex.ac.uk/staff/exams-and-assessment/assessment-and-marking-policies" TargetMode="External"/><Relationship Id="rId29" Type="http://schemas.openxmlformats.org/officeDocument/2006/relationships/hyperlink" Target="mailto:tel@essex.ac.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aff/governance/university-strategic-plan" TargetMode="External"/><Relationship Id="rId24" Type="http://schemas.openxmlformats.org/officeDocument/2006/relationships/hyperlink" Target="https://www.essex.ac.uk/governance-and-strategy/governance/regulations" TargetMode="External"/><Relationship Id="rId32" Type="http://schemas.openxmlformats.org/officeDocument/2006/relationships/hyperlink" Target="https://www.essex.ac.uk/staff/students-with-disabilities/ensuring-your-teaching-practice-is-inclusive-for-disabled-students" TargetMode="External"/><Relationship Id="rId37" Type="http://schemas.openxmlformats.org/officeDocument/2006/relationships/hyperlink" Target="https://www.essex.ac.uk/staff/web-support/web-accessibility"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ssex.ac.uk/student/exams-and-coursework/assessment-and-marking-policies" TargetMode="External"/><Relationship Id="rId23" Type="http://schemas.openxmlformats.org/officeDocument/2006/relationships/hyperlink" Target="https://www.essex.ac.uk/governance-and-strategy/governance/policies" TargetMode="External"/><Relationship Id="rId28" Type="http://schemas.openxmlformats.org/officeDocument/2006/relationships/hyperlink" Target="https://moodle.essex.ac.uk/course/view.php?id=5152" TargetMode="External"/><Relationship Id="rId36" Type="http://schemas.openxmlformats.org/officeDocument/2006/relationships/hyperlink" Target="https://library.essex.ac.uk/edi" TargetMode="External"/><Relationship Id="rId10" Type="http://schemas.openxmlformats.org/officeDocument/2006/relationships/hyperlink" Target="https://www.essex.ac.uk/staff/exams-and-assessment/assessment-and-marking-policies" TargetMode="External"/><Relationship Id="rId19" Type="http://schemas.openxmlformats.org/officeDocument/2006/relationships/hyperlink" Target="https://www.essex.ac.uk/-/media/documents/directories/academic-section/academic-standards-and-quality/assessment-feedback-policy.pdf" TargetMode="External"/><Relationship Id="rId31" Type="http://schemas.openxmlformats.org/officeDocument/2006/relationships/hyperlink" Target="https://www.vitae.ac.uk/" TargetMode="External"/><Relationship Id="rId4" Type="http://schemas.openxmlformats.org/officeDocument/2006/relationships/settings" Target="settings.xml"/><Relationship Id="rId9" Type="http://schemas.openxmlformats.org/officeDocument/2006/relationships/hyperlink" Target="https://www.qaa.ac.uk/quality-code" TargetMode="External"/><Relationship Id="rId14" Type="http://schemas.openxmlformats.org/officeDocument/2006/relationships/hyperlink" Target="https://www.essex.ac.uk/-/media/documents/about/governance/rap-2024-25.pdf" TargetMode="External"/><Relationship Id="rId22" Type="http://schemas.openxmlformats.org/officeDocument/2006/relationships/hyperlink" Target="https://www.essex.ac.uk/sustainability/the-climate-and-ecological-emergency" TargetMode="External"/><Relationship Id="rId27" Type="http://schemas.openxmlformats.org/officeDocument/2006/relationships/hyperlink" Target="https://moodle.essex.ac.uk/course/view.php?id=6190." TargetMode="External"/><Relationship Id="rId30" Type="http://schemas.openxmlformats.org/officeDocument/2006/relationships/hyperlink" Target="https://moodle.essex.ac.uk/course/view.php?id=14288" TargetMode="External"/><Relationship Id="rId35" Type="http://schemas.openxmlformats.org/officeDocument/2006/relationships/hyperlink" Target="https://rl.talis.com/3/essex/lists/21ABA282-38A3-D881-0350-5A245414C105.html" TargetMode="External"/><Relationship Id="rId8" Type="http://schemas.openxmlformats.org/officeDocument/2006/relationships/hyperlink" Target="https://www.officeforstudents.org.uk/advice-and-guidance/regulation/the-regulatory-framework-for-higher-education-in-england/" TargetMode="External"/><Relationship Id="rId3" Type="http://schemas.openxmlformats.org/officeDocument/2006/relationships/styles" Target="styles.xml"/><Relationship Id="rId12" Type="http://schemas.openxmlformats.org/officeDocument/2006/relationships/hyperlink" Target="https://www.essex.ac.uk/-/media/documents/about/governance/education-strategy-2019-28.pdf" TargetMode="External"/><Relationship Id="rId17" Type="http://schemas.openxmlformats.org/officeDocument/2006/relationships/hyperlink" Target="https://www.essex.ac.uk/staff/students-with-disabilities/ensuring-your-teaching-practice-is-inclusive-for-disabled-students" TargetMode="External"/><Relationship Id="rId25" Type="http://schemas.openxmlformats.org/officeDocument/2006/relationships/hyperlink" Target="https://open.essex.ac.uk/course/index.php?categoryid=6" TargetMode="External"/><Relationship Id="rId33" Type="http://schemas.openxmlformats.org/officeDocument/2006/relationships/hyperlink" Target="https://www.essex.ac.uk/student/equality-and-diversity/tackling-racism" TargetMode="External"/><Relationship Id="rId38" Type="http://schemas.openxmlformats.org/officeDocument/2006/relationships/hyperlink" Target="https://www.essex.ac.uk/staff/web-support/writing-for-the-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6EAF5-0A96-41C4-A7FE-1DBBDE06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Learning and Assessment Overview Guide</dc:title>
  <dc:subject/>
  <dc:creator>QUAD</dc:creator>
  <cp:keywords>Teaching, Learning and Assessment Overview Guide</cp:keywords>
  <dc:description/>
  <cp:lastModifiedBy>Lannon, Rosie J</cp:lastModifiedBy>
  <cp:revision>8</cp:revision>
  <dcterms:created xsi:type="dcterms:W3CDTF">2024-09-06T15:46:00Z</dcterms:created>
  <dcterms:modified xsi:type="dcterms:W3CDTF">2024-10-31T09:54:00Z</dcterms:modified>
</cp:coreProperties>
</file>