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3CCC" w14:textId="77777777" w:rsidR="00261342" w:rsidRPr="00261342" w:rsidRDefault="00446422" w:rsidP="00156490">
      <w:pPr>
        <w:tabs>
          <w:tab w:val="left" w:pos="5387"/>
        </w:tabs>
        <w:spacing w:after="0"/>
        <w:rPr>
          <w:b/>
          <w:bCs/>
          <w:szCs w:val="28"/>
        </w:rPr>
      </w:pPr>
      <w:bookmarkStart w:id="0" w:name="_Toc69199349"/>
      <w:bookmarkStart w:id="1" w:name="_Toc68879980"/>
      <w:bookmarkStart w:id="2" w:name="_Toc68880115"/>
      <w:r>
        <w:rPr>
          <w:noProof/>
        </w:rPr>
        <w:drawing>
          <wp:inline distT="0" distB="0" distL="0" distR="0" wp14:anchorId="4B71A9A1" wp14:editId="62856552">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8">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rsidRPr="00446422">
        <w:rPr>
          <w:noProof/>
        </w:rPr>
        <w:t xml:space="preserve"> </w:t>
      </w:r>
    </w:p>
    <w:p w14:paraId="31103E2B" w14:textId="302BCE20" w:rsidR="002E7D9C" w:rsidRDefault="00E5227E" w:rsidP="001E6CC9">
      <w:pPr>
        <w:pStyle w:val="Title"/>
      </w:pPr>
      <w:r>
        <w:rPr>
          <w:noProof/>
        </w:rPr>
        <w:drawing>
          <wp:anchor distT="0" distB="0" distL="114300" distR="114300" simplePos="0" relativeHeight="251658240" behindDoc="1" locked="1" layoutInCell="1" allowOverlap="1" wp14:anchorId="328CE0D8" wp14:editId="2A6921B5">
            <wp:simplePos x="0" y="0"/>
            <wp:positionH relativeFrom="page">
              <wp:posOffset>-41910</wp:posOffset>
            </wp:positionH>
            <wp:positionV relativeFrom="page">
              <wp:posOffset>-54610</wp:posOffset>
            </wp:positionV>
            <wp:extent cx="7632065" cy="10824210"/>
            <wp:effectExtent l="0" t="0" r="63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632065" cy="10824210"/>
                    </a:xfrm>
                    <a:prstGeom prst="rect">
                      <a:avLst/>
                    </a:prstGeom>
                  </pic:spPr>
                </pic:pic>
              </a:graphicData>
            </a:graphic>
            <wp14:sizeRelH relativeFrom="margin">
              <wp14:pctWidth>0</wp14:pctWidth>
            </wp14:sizeRelH>
            <wp14:sizeRelV relativeFrom="margin">
              <wp14:pctHeight>0</wp14:pctHeight>
            </wp14:sizeRelV>
          </wp:anchor>
        </w:drawing>
      </w:r>
      <w:r w:rsidR="00467D36">
        <w:t xml:space="preserve">Car Parking </w:t>
      </w:r>
      <w:r w:rsidR="00093141">
        <w:t xml:space="preserve">Appeals Policy </w:t>
      </w:r>
    </w:p>
    <w:p w14:paraId="572DCC37" w14:textId="1C40A74E" w:rsidR="007C08B9" w:rsidRPr="007C08B9" w:rsidRDefault="00093141" w:rsidP="00EA58A7">
      <w:pPr>
        <w:pStyle w:val="Subtitle"/>
        <w:rPr>
          <w:lang w:eastAsia="en-GB"/>
        </w:rPr>
      </w:pPr>
      <w:r>
        <w:rPr>
          <w:lang w:eastAsia="en-GB"/>
        </w:rPr>
        <w:t xml:space="preserve">Travel &amp; Transport </w:t>
      </w:r>
    </w:p>
    <w:bookmarkEnd w:id="0"/>
    <w:bookmarkEnd w:id="1"/>
    <w:bookmarkEnd w:id="2"/>
    <w:p w14:paraId="13003698" w14:textId="0357FCC9" w:rsidR="00F84881" w:rsidRPr="0099645A" w:rsidRDefault="00F84881" w:rsidP="00F84881">
      <w:pPr>
        <w:pStyle w:val="NoSpacing"/>
      </w:pPr>
      <w:r w:rsidRPr="0099645A">
        <w:t>Authors:</w:t>
      </w:r>
      <w:r w:rsidRPr="0099645A">
        <w:tab/>
      </w:r>
      <w:r w:rsidR="00093141">
        <w:t>Estates &amp; Facilities Management</w:t>
      </w:r>
    </w:p>
    <w:p w14:paraId="0A3B2C2E" w14:textId="22FE91C5" w:rsidR="00A0682B" w:rsidRPr="0099645A" w:rsidRDefault="00A0682B" w:rsidP="00A0682B">
      <w:pPr>
        <w:pStyle w:val="NoSpacing"/>
      </w:pPr>
      <w:r w:rsidRPr="0099645A">
        <w:t>Publication date:</w:t>
      </w:r>
      <w:r w:rsidRPr="0099645A">
        <w:tab/>
      </w:r>
      <w:r w:rsidR="00093141">
        <w:t>27 September 2024</w:t>
      </w:r>
    </w:p>
    <w:p w14:paraId="1B1A94B7" w14:textId="77777777" w:rsidR="00A0682B" w:rsidRDefault="00A0682B" w:rsidP="00A0682B">
      <w:pPr>
        <w:pStyle w:val="NoSpacing"/>
      </w:pPr>
      <w:r>
        <w:t>Amended</w:t>
      </w:r>
      <w:r w:rsidRPr="0099645A">
        <w:t>:</w:t>
      </w:r>
      <w:r w:rsidRPr="0099645A">
        <w:tab/>
      </w:r>
      <w:r>
        <w:t>-</w:t>
      </w:r>
    </w:p>
    <w:p w14:paraId="65C7E634" w14:textId="7B839F02" w:rsidR="000C6A83" w:rsidRPr="0099645A" w:rsidRDefault="00A0682B" w:rsidP="00A0682B">
      <w:pPr>
        <w:pStyle w:val="NoSpacing"/>
      </w:pPr>
      <w:r>
        <w:t>Review date</w:t>
      </w:r>
      <w:r w:rsidRPr="0099645A">
        <w:t>:</w:t>
      </w:r>
      <w:r w:rsidRPr="0099645A">
        <w:tab/>
      </w:r>
      <w:r w:rsidR="00093141">
        <w:t>September 2025</w:t>
      </w:r>
      <w:r w:rsidR="000C6A83" w:rsidRPr="0099645A">
        <w:br w:type="page"/>
      </w:r>
    </w:p>
    <w:p w14:paraId="40D73BCC"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10"/>
          <w:pgSz w:w="11906" w:h="16838"/>
          <w:pgMar w:top="227" w:right="454" w:bottom="816" w:left="227" w:header="709" w:footer="142" w:gutter="0"/>
          <w:pgNumType w:start="0"/>
          <w:cols w:space="708"/>
          <w:titlePg/>
          <w:docGrid w:linePitch="360"/>
        </w:sectPr>
      </w:pPr>
    </w:p>
    <w:sdt>
      <w:sdtPr>
        <w:rPr>
          <w:rFonts w:asciiTheme="minorHAnsi" w:eastAsiaTheme="minorHAnsi" w:hAnsiTheme="minorHAnsi" w:cstheme="minorBidi"/>
          <w:b w:val="0"/>
          <w:bCs w:val="0"/>
          <w:sz w:val="24"/>
          <w:szCs w:val="24"/>
          <w:lang w:val="en-GB"/>
        </w:rPr>
        <w:id w:val="1976557800"/>
        <w:docPartObj>
          <w:docPartGallery w:val="Table of Contents"/>
          <w:docPartUnique/>
        </w:docPartObj>
      </w:sdtPr>
      <w:sdtEndPr>
        <w:rPr>
          <w:noProof/>
        </w:rPr>
      </w:sdtEndPr>
      <w:sdtContent>
        <w:p w14:paraId="1C1DD1F6" w14:textId="77777777" w:rsidR="000C6A83" w:rsidRDefault="000C6A83">
          <w:pPr>
            <w:pStyle w:val="TOCHeading"/>
          </w:pPr>
          <w:r>
            <w:t>Table of Contents</w:t>
          </w:r>
        </w:p>
        <w:p w14:paraId="401AA310" w14:textId="5FACE28C" w:rsidR="00D97D73" w:rsidRDefault="000C6A83">
          <w:pPr>
            <w:pStyle w:val="TOC1"/>
            <w:tabs>
              <w:tab w:val="left" w:pos="1200"/>
            </w:tabs>
            <w:rPr>
              <w:rFonts w:asciiTheme="minorHAnsi" w:eastAsiaTheme="minorEastAsia" w:hAnsiTheme="minorHAnsi"/>
              <w:noProof/>
              <w:color w:val="auto"/>
              <w:kern w:val="2"/>
              <w:lang w:eastAsia="en-GB"/>
              <w14:ligatures w14:val="standardContextual"/>
            </w:rPr>
          </w:pPr>
          <w:r>
            <w:fldChar w:fldCharType="begin"/>
          </w:r>
          <w:r>
            <w:instrText xml:space="preserve"> TOC \h \z \u \t "Heading 2,1,Heading 3,2," </w:instrText>
          </w:r>
          <w:r>
            <w:fldChar w:fldCharType="separate"/>
          </w:r>
          <w:hyperlink w:anchor="_Toc194485506" w:history="1">
            <w:r w:rsidR="00D97D73" w:rsidRPr="00171D4F">
              <w:rPr>
                <w:rStyle w:val="Hyperlink"/>
                <w:noProof/>
              </w:rPr>
              <w:t>1.</w:t>
            </w:r>
            <w:r w:rsidR="00D97D73">
              <w:rPr>
                <w:rFonts w:asciiTheme="minorHAnsi" w:eastAsiaTheme="minorEastAsia" w:hAnsiTheme="minorHAnsi"/>
                <w:noProof/>
                <w:color w:val="auto"/>
                <w:kern w:val="2"/>
                <w:lang w:eastAsia="en-GB"/>
                <w14:ligatures w14:val="standardContextual"/>
              </w:rPr>
              <w:tab/>
            </w:r>
            <w:r w:rsidR="00D97D73" w:rsidRPr="00171D4F">
              <w:rPr>
                <w:rStyle w:val="Hyperlink"/>
                <w:noProof/>
              </w:rPr>
              <w:t>How can a motorist lodge an appeal</w:t>
            </w:r>
            <w:r w:rsidR="00D97D73">
              <w:rPr>
                <w:noProof/>
                <w:webHidden/>
              </w:rPr>
              <w:tab/>
            </w:r>
            <w:r w:rsidR="00D97D73">
              <w:rPr>
                <w:noProof/>
                <w:webHidden/>
              </w:rPr>
              <w:fldChar w:fldCharType="begin"/>
            </w:r>
            <w:r w:rsidR="00D97D73">
              <w:rPr>
                <w:noProof/>
                <w:webHidden/>
              </w:rPr>
              <w:instrText xml:space="preserve"> PAGEREF _Toc194485506 \h </w:instrText>
            </w:r>
            <w:r w:rsidR="00D97D73">
              <w:rPr>
                <w:noProof/>
                <w:webHidden/>
              </w:rPr>
            </w:r>
            <w:r w:rsidR="00D97D73">
              <w:rPr>
                <w:noProof/>
                <w:webHidden/>
              </w:rPr>
              <w:fldChar w:fldCharType="separate"/>
            </w:r>
            <w:r w:rsidR="00D97D73">
              <w:rPr>
                <w:noProof/>
                <w:webHidden/>
              </w:rPr>
              <w:t>3</w:t>
            </w:r>
            <w:r w:rsidR="00D97D73">
              <w:rPr>
                <w:noProof/>
                <w:webHidden/>
              </w:rPr>
              <w:fldChar w:fldCharType="end"/>
            </w:r>
          </w:hyperlink>
        </w:p>
        <w:p w14:paraId="58EE82DD" w14:textId="2B958267" w:rsidR="00D97D73" w:rsidRDefault="00000000">
          <w:pPr>
            <w:pStyle w:val="TOC1"/>
            <w:tabs>
              <w:tab w:val="left" w:pos="1200"/>
            </w:tabs>
            <w:rPr>
              <w:rFonts w:asciiTheme="minorHAnsi" w:eastAsiaTheme="minorEastAsia" w:hAnsiTheme="minorHAnsi"/>
              <w:noProof/>
              <w:color w:val="auto"/>
              <w:kern w:val="2"/>
              <w:lang w:eastAsia="en-GB"/>
              <w14:ligatures w14:val="standardContextual"/>
            </w:rPr>
          </w:pPr>
          <w:hyperlink w:anchor="_Toc194485507" w:history="1">
            <w:r w:rsidR="00D97D73" w:rsidRPr="00171D4F">
              <w:rPr>
                <w:rStyle w:val="Hyperlink"/>
                <w:noProof/>
              </w:rPr>
              <w:t>2.</w:t>
            </w:r>
            <w:r w:rsidR="00D97D73">
              <w:rPr>
                <w:rFonts w:asciiTheme="minorHAnsi" w:eastAsiaTheme="minorEastAsia" w:hAnsiTheme="minorHAnsi"/>
                <w:noProof/>
                <w:color w:val="auto"/>
                <w:kern w:val="2"/>
                <w:lang w:eastAsia="en-GB"/>
                <w14:ligatures w14:val="standardContextual"/>
              </w:rPr>
              <w:tab/>
            </w:r>
            <w:r w:rsidR="00D97D73" w:rsidRPr="00171D4F">
              <w:rPr>
                <w:rStyle w:val="Hyperlink"/>
                <w:noProof/>
              </w:rPr>
              <w:t>Recording appeals</w:t>
            </w:r>
            <w:r w:rsidR="00D97D73">
              <w:rPr>
                <w:noProof/>
                <w:webHidden/>
              </w:rPr>
              <w:tab/>
            </w:r>
            <w:r w:rsidR="00D97D73">
              <w:rPr>
                <w:noProof/>
                <w:webHidden/>
              </w:rPr>
              <w:fldChar w:fldCharType="begin"/>
            </w:r>
            <w:r w:rsidR="00D97D73">
              <w:rPr>
                <w:noProof/>
                <w:webHidden/>
              </w:rPr>
              <w:instrText xml:space="preserve"> PAGEREF _Toc194485507 \h </w:instrText>
            </w:r>
            <w:r w:rsidR="00D97D73">
              <w:rPr>
                <w:noProof/>
                <w:webHidden/>
              </w:rPr>
            </w:r>
            <w:r w:rsidR="00D97D73">
              <w:rPr>
                <w:noProof/>
                <w:webHidden/>
              </w:rPr>
              <w:fldChar w:fldCharType="separate"/>
            </w:r>
            <w:r w:rsidR="00D97D73">
              <w:rPr>
                <w:noProof/>
                <w:webHidden/>
              </w:rPr>
              <w:t>3</w:t>
            </w:r>
            <w:r w:rsidR="00D97D73">
              <w:rPr>
                <w:noProof/>
                <w:webHidden/>
              </w:rPr>
              <w:fldChar w:fldCharType="end"/>
            </w:r>
          </w:hyperlink>
        </w:p>
        <w:p w14:paraId="511F4142" w14:textId="14410C7B" w:rsidR="00D97D73" w:rsidRDefault="00000000">
          <w:pPr>
            <w:pStyle w:val="TOC1"/>
            <w:tabs>
              <w:tab w:val="left" w:pos="1200"/>
            </w:tabs>
            <w:rPr>
              <w:rFonts w:asciiTheme="minorHAnsi" w:eastAsiaTheme="minorEastAsia" w:hAnsiTheme="minorHAnsi"/>
              <w:noProof/>
              <w:color w:val="auto"/>
              <w:kern w:val="2"/>
              <w:lang w:eastAsia="en-GB"/>
              <w14:ligatures w14:val="standardContextual"/>
            </w:rPr>
          </w:pPr>
          <w:hyperlink w:anchor="_Toc194485508" w:history="1">
            <w:r w:rsidR="00D97D73" w:rsidRPr="00171D4F">
              <w:rPr>
                <w:rStyle w:val="Hyperlink"/>
                <w:noProof/>
              </w:rPr>
              <w:t>3.</w:t>
            </w:r>
            <w:r w:rsidR="00D97D73">
              <w:rPr>
                <w:rFonts w:asciiTheme="minorHAnsi" w:eastAsiaTheme="minorEastAsia" w:hAnsiTheme="minorHAnsi"/>
                <w:noProof/>
                <w:color w:val="auto"/>
                <w:kern w:val="2"/>
                <w:lang w:eastAsia="en-GB"/>
                <w14:ligatures w14:val="standardContextual"/>
              </w:rPr>
              <w:tab/>
            </w:r>
            <w:r w:rsidR="00D97D73" w:rsidRPr="00171D4F">
              <w:rPr>
                <w:rStyle w:val="Hyperlink"/>
                <w:noProof/>
              </w:rPr>
              <w:t>Appeals out of time</w:t>
            </w:r>
            <w:r w:rsidR="00D97D73">
              <w:rPr>
                <w:noProof/>
                <w:webHidden/>
              </w:rPr>
              <w:tab/>
            </w:r>
            <w:r w:rsidR="00D97D73">
              <w:rPr>
                <w:noProof/>
                <w:webHidden/>
              </w:rPr>
              <w:fldChar w:fldCharType="begin"/>
            </w:r>
            <w:r w:rsidR="00D97D73">
              <w:rPr>
                <w:noProof/>
                <w:webHidden/>
              </w:rPr>
              <w:instrText xml:space="preserve"> PAGEREF _Toc194485508 \h </w:instrText>
            </w:r>
            <w:r w:rsidR="00D97D73">
              <w:rPr>
                <w:noProof/>
                <w:webHidden/>
              </w:rPr>
            </w:r>
            <w:r w:rsidR="00D97D73">
              <w:rPr>
                <w:noProof/>
                <w:webHidden/>
              </w:rPr>
              <w:fldChar w:fldCharType="separate"/>
            </w:r>
            <w:r w:rsidR="00D97D73">
              <w:rPr>
                <w:noProof/>
                <w:webHidden/>
              </w:rPr>
              <w:t>4</w:t>
            </w:r>
            <w:r w:rsidR="00D97D73">
              <w:rPr>
                <w:noProof/>
                <w:webHidden/>
              </w:rPr>
              <w:fldChar w:fldCharType="end"/>
            </w:r>
          </w:hyperlink>
        </w:p>
        <w:p w14:paraId="37176D2D" w14:textId="116E7502" w:rsidR="00D97D73" w:rsidRDefault="00000000">
          <w:pPr>
            <w:pStyle w:val="TOC1"/>
            <w:tabs>
              <w:tab w:val="left" w:pos="1200"/>
            </w:tabs>
            <w:rPr>
              <w:rFonts w:asciiTheme="minorHAnsi" w:eastAsiaTheme="minorEastAsia" w:hAnsiTheme="minorHAnsi"/>
              <w:noProof/>
              <w:color w:val="auto"/>
              <w:kern w:val="2"/>
              <w:lang w:eastAsia="en-GB"/>
              <w14:ligatures w14:val="standardContextual"/>
            </w:rPr>
          </w:pPr>
          <w:hyperlink w:anchor="_Toc194485509" w:history="1">
            <w:r w:rsidR="00D97D73" w:rsidRPr="00171D4F">
              <w:rPr>
                <w:rStyle w:val="Hyperlink"/>
                <w:noProof/>
              </w:rPr>
              <w:t>4.</w:t>
            </w:r>
            <w:r w:rsidR="00D97D73">
              <w:rPr>
                <w:rFonts w:asciiTheme="minorHAnsi" w:eastAsiaTheme="minorEastAsia" w:hAnsiTheme="minorHAnsi"/>
                <w:noProof/>
                <w:color w:val="auto"/>
                <w:kern w:val="2"/>
                <w:lang w:eastAsia="en-GB"/>
                <w14:ligatures w14:val="standardContextual"/>
              </w:rPr>
              <w:tab/>
            </w:r>
            <w:r w:rsidR="00D97D73" w:rsidRPr="00171D4F">
              <w:rPr>
                <w:rStyle w:val="Hyperlink"/>
                <w:noProof/>
              </w:rPr>
              <w:t>Investigating the appeal</w:t>
            </w:r>
            <w:r w:rsidR="00D97D73">
              <w:rPr>
                <w:noProof/>
                <w:webHidden/>
              </w:rPr>
              <w:tab/>
            </w:r>
            <w:r w:rsidR="00D97D73">
              <w:rPr>
                <w:noProof/>
                <w:webHidden/>
              </w:rPr>
              <w:fldChar w:fldCharType="begin"/>
            </w:r>
            <w:r w:rsidR="00D97D73">
              <w:rPr>
                <w:noProof/>
                <w:webHidden/>
              </w:rPr>
              <w:instrText xml:space="preserve"> PAGEREF _Toc194485509 \h </w:instrText>
            </w:r>
            <w:r w:rsidR="00D97D73">
              <w:rPr>
                <w:noProof/>
                <w:webHidden/>
              </w:rPr>
            </w:r>
            <w:r w:rsidR="00D97D73">
              <w:rPr>
                <w:noProof/>
                <w:webHidden/>
              </w:rPr>
              <w:fldChar w:fldCharType="separate"/>
            </w:r>
            <w:r w:rsidR="00D97D73">
              <w:rPr>
                <w:noProof/>
                <w:webHidden/>
              </w:rPr>
              <w:t>4</w:t>
            </w:r>
            <w:r w:rsidR="00D97D73">
              <w:rPr>
                <w:noProof/>
                <w:webHidden/>
              </w:rPr>
              <w:fldChar w:fldCharType="end"/>
            </w:r>
          </w:hyperlink>
        </w:p>
        <w:p w14:paraId="18C415EA" w14:textId="60B2983B" w:rsidR="00D97D73" w:rsidRDefault="00000000">
          <w:pPr>
            <w:pStyle w:val="TOC1"/>
            <w:tabs>
              <w:tab w:val="left" w:pos="1200"/>
            </w:tabs>
            <w:rPr>
              <w:rFonts w:asciiTheme="minorHAnsi" w:eastAsiaTheme="minorEastAsia" w:hAnsiTheme="minorHAnsi"/>
              <w:noProof/>
              <w:color w:val="auto"/>
              <w:kern w:val="2"/>
              <w:lang w:eastAsia="en-GB"/>
              <w14:ligatures w14:val="standardContextual"/>
            </w:rPr>
          </w:pPr>
          <w:hyperlink w:anchor="_Toc194485510" w:history="1">
            <w:r w:rsidR="00D97D73" w:rsidRPr="00171D4F">
              <w:rPr>
                <w:rStyle w:val="Hyperlink"/>
                <w:noProof/>
              </w:rPr>
              <w:t>5.</w:t>
            </w:r>
            <w:r w:rsidR="00D97D73">
              <w:rPr>
                <w:rFonts w:asciiTheme="minorHAnsi" w:eastAsiaTheme="minorEastAsia" w:hAnsiTheme="minorHAnsi"/>
                <w:noProof/>
                <w:color w:val="auto"/>
                <w:kern w:val="2"/>
                <w:lang w:eastAsia="en-GB"/>
                <w14:ligatures w14:val="standardContextual"/>
              </w:rPr>
              <w:tab/>
            </w:r>
            <w:r w:rsidR="00D97D73" w:rsidRPr="00171D4F">
              <w:rPr>
                <w:rStyle w:val="Hyperlink"/>
                <w:noProof/>
              </w:rPr>
              <w:t>Appeal decisions</w:t>
            </w:r>
            <w:r w:rsidR="00D97D73">
              <w:rPr>
                <w:noProof/>
                <w:webHidden/>
              </w:rPr>
              <w:tab/>
            </w:r>
            <w:r w:rsidR="00D97D73">
              <w:rPr>
                <w:noProof/>
                <w:webHidden/>
              </w:rPr>
              <w:fldChar w:fldCharType="begin"/>
            </w:r>
            <w:r w:rsidR="00D97D73">
              <w:rPr>
                <w:noProof/>
                <w:webHidden/>
              </w:rPr>
              <w:instrText xml:space="preserve"> PAGEREF _Toc194485510 \h </w:instrText>
            </w:r>
            <w:r w:rsidR="00D97D73">
              <w:rPr>
                <w:noProof/>
                <w:webHidden/>
              </w:rPr>
            </w:r>
            <w:r w:rsidR="00D97D73">
              <w:rPr>
                <w:noProof/>
                <w:webHidden/>
              </w:rPr>
              <w:fldChar w:fldCharType="separate"/>
            </w:r>
            <w:r w:rsidR="00D97D73">
              <w:rPr>
                <w:noProof/>
                <w:webHidden/>
              </w:rPr>
              <w:t>6</w:t>
            </w:r>
            <w:r w:rsidR="00D97D73">
              <w:rPr>
                <w:noProof/>
                <w:webHidden/>
              </w:rPr>
              <w:fldChar w:fldCharType="end"/>
            </w:r>
          </w:hyperlink>
        </w:p>
        <w:p w14:paraId="35897F2F" w14:textId="12251975" w:rsidR="00D97D73" w:rsidRDefault="00000000">
          <w:pPr>
            <w:pStyle w:val="TOC1"/>
            <w:tabs>
              <w:tab w:val="left" w:pos="1200"/>
            </w:tabs>
            <w:rPr>
              <w:rFonts w:asciiTheme="minorHAnsi" w:eastAsiaTheme="minorEastAsia" w:hAnsiTheme="minorHAnsi"/>
              <w:noProof/>
              <w:color w:val="auto"/>
              <w:kern w:val="2"/>
              <w:lang w:eastAsia="en-GB"/>
              <w14:ligatures w14:val="standardContextual"/>
            </w:rPr>
          </w:pPr>
          <w:hyperlink w:anchor="_Toc194485511" w:history="1">
            <w:r w:rsidR="00D97D73" w:rsidRPr="00171D4F">
              <w:rPr>
                <w:rStyle w:val="Hyperlink"/>
                <w:noProof/>
              </w:rPr>
              <w:t>6.</w:t>
            </w:r>
            <w:r w:rsidR="00D97D73">
              <w:rPr>
                <w:rFonts w:asciiTheme="minorHAnsi" w:eastAsiaTheme="minorEastAsia" w:hAnsiTheme="minorHAnsi"/>
                <w:noProof/>
                <w:color w:val="auto"/>
                <w:kern w:val="2"/>
                <w:lang w:eastAsia="en-GB"/>
                <w14:ligatures w14:val="standardContextual"/>
              </w:rPr>
              <w:tab/>
            </w:r>
            <w:r w:rsidR="00D97D73" w:rsidRPr="00171D4F">
              <w:rPr>
                <w:rStyle w:val="Hyperlink"/>
                <w:noProof/>
              </w:rPr>
              <w:t>Responding to appeals</w:t>
            </w:r>
            <w:r w:rsidR="00D97D73">
              <w:rPr>
                <w:noProof/>
                <w:webHidden/>
              </w:rPr>
              <w:tab/>
            </w:r>
            <w:r w:rsidR="00D97D73">
              <w:rPr>
                <w:noProof/>
                <w:webHidden/>
              </w:rPr>
              <w:fldChar w:fldCharType="begin"/>
            </w:r>
            <w:r w:rsidR="00D97D73">
              <w:rPr>
                <w:noProof/>
                <w:webHidden/>
              </w:rPr>
              <w:instrText xml:space="preserve"> PAGEREF _Toc194485511 \h </w:instrText>
            </w:r>
            <w:r w:rsidR="00D97D73">
              <w:rPr>
                <w:noProof/>
                <w:webHidden/>
              </w:rPr>
            </w:r>
            <w:r w:rsidR="00D97D73">
              <w:rPr>
                <w:noProof/>
                <w:webHidden/>
              </w:rPr>
              <w:fldChar w:fldCharType="separate"/>
            </w:r>
            <w:r w:rsidR="00D97D73">
              <w:rPr>
                <w:noProof/>
                <w:webHidden/>
              </w:rPr>
              <w:t>6</w:t>
            </w:r>
            <w:r w:rsidR="00D97D73">
              <w:rPr>
                <w:noProof/>
                <w:webHidden/>
              </w:rPr>
              <w:fldChar w:fldCharType="end"/>
            </w:r>
          </w:hyperlink>
        </w:p>
        <w:p w14:paraId="76E10B5B" w14:textId="51CA54F5" w:rsidR="00D97D73" w:rsidRDefault="00000000">
          <w:pPr>
            <w:pStyle w:val="TOC1"/>
            <w:tabs>
              <w:tab w:val="left" w:pos="1200"/>
            </w:tabs>
            <w:rPr>
              <w:rFonts w:asciiTheme="minorHAnsi" w:eastAsiaTheme="minorEastAsia" w:hAnsiTheme="minorHAnsi"/>
              <w:noProof/>
              <w:color w:val="auto"/>
              <w:kern w:val="2"/>
              <w:lang w:eastAsia="en-GB"/>
              <w14:ligatures w14:val="standardContextual"/>
            </w:rPr>
          </w:pPr>
          <w:hyperlink w:anchor="_Toc194485512" w:history="1">
            <w:r w:rsidR="00D97D73" w:rsidRPr="00171D4F">
              <w:rPr>
                <w:rStyle w:val="Hyperlink"/>
                <w:noProof/>
              </w:rPr>
              <w:t>7.</w:t>
            </w:r>
            <w:r w:rsidR="00D97D73">
              <w:rPr>
                <w:rFonts w:asciiTheme="minorHAnsi" w:eastAsiaTheme="minorEastAsia" w:hAnsiTheme="minorHAnsi"/>
                <w:noProof/>
                <w:color w:val="auto"/>
                <w:kern w:val="2"/>
                <w:lang w:eastAsia="en-GB"/>
                <w14:ligatures w14:val="standardContextual"/>
              </w:rPr>
              <w:tab/>
            </w:r>
            <w:r w:rsidR="00D97D73" w:rsidRPr="00171D4F">
              <w:rPr>
                <w:rStyle w:val="Hyperlink"/>
                <w:noProof/>
              </w:rPr>
              <w:t>Independent Appeals Service</w:t>
            </w:r>
            <w:r w:rsidR="00D97D73">
              <w:rPr>
                <w:noProof/>
                <w:webHidden/>
              </w:rPr>
              <w:tab/>
            </w:r>
            <w:r w:rsidR="00D97D73">
              <w:rPr>
                <w:noProof/>
                <w:webHidden/>
              </w:rPr>
              <w:fldChar w:fldCharType="begin"/>
            </w:r>
            <w:r w:rsidR="00D97D73">
              <w:rPr>
                <w:noProof/>
                <w:webHidden/>
              </w:rPr>
              <w:instrText xml:space="preserve"> PAGEREF _Toc194485512 \h </w:instrText>
            </w:r>
            <w:r w:rsidR="00D97D73">
              <w:rPr>
                <w:noProof/>
                <w:webHidden/>
              </w:rPr>
            </w:r>
            <w:r w:rsidR="00D97D73">
              <w:rPr>
                <w:noProof/>
                <w:webHidden/>
              </w:rPr>
              <w:fldChar w:fldCharType="separate"/>
            </w:r>
            <w:r w:rsidR="00D97D73">
              <w:rPr>
                <w:noProof/>
                <w:webHidden/>
              </w:rPr>
              <w:t>7</w:t>
            </w:r>
            <w:r w:rsidR="00D97D73">
              <w:rPr>
                <w:noProof/>
                <w:webHidden/>
              </w:rPr>
              <w:fldChar w:fldCharType="end"/>
            </w:r>
          </w:hyperlink>
        </w:p>
        <w:p w14:paraId="327DA7BB" w14:textId="7932296C" w:rsidR="00D97D73" w:rsidRDefault="00000000">
          <w:pPr>
            <w:pStyle w:val="TOC1"/>
            <w:tabs>
              <w:tab w:val="left" w:pos="1200"/>
            </w:tabs>
            <w:rPr>
              <w:rFonts w:asciiTheme="minorHAnsi" w:eastAsiaTheme="minorEastAsia" w:hAnsiTheme="minorHAnsi"/>
              <w:noProof/>
              <w:color w:val="auto"/>
              <w:kern w:val="2"/>
              <w:lang w:eastAsia="en-GB"/>
              <w14:ligatures w14:val="standardContextual"/>
            </w:rPr>
          </w:pPr>
          <w:hyperlink w:anchor="_Toc194485513" w:history="1">
            <w:r w:rsidR="00D97D73" w:rsidRPr="00171D4F">
              <w:rPr>
                <w:rStyle w:val="Hyperlink"/>
                <w:noProof/>
              </w:rPr>
              <w:t>8.</w:t>
            </w:r>
            <w:r w:rsidR="00D97D73">
              <w:rPr>
                <w:rFonts w:asciiTheme="minorHAnsi" w:eastAsiaTheme="minorEastAsia" w:hAnsiTheme="minorHAnsi"/>
                <w:noProof/>
                <w:color w:val="auto"/>
                <w:kern w:val="2"/>
                <w:lang w:eastAsia="en-GB"/>
                <w14:ligatures w14:val="standardContextual"/>
              </w:rPr>
              <w:tab/>
            </w:r>
            <w:r w:rsidR="00D97D73" w:rsidRPr="00171D4F">
              <w:rPr>
                <w:rStyle w:val="Hyperlink"/>
                <w:noProof/>
              </w:rPr>
              <w:t>Further challenges</w:t>
            </w:r>
            <w:r w:rsidR="00D97D73">
              <w:rPr>
                <w:noProof/>
                <w:webHidden/>
              </w:rPr>
              <w:tab/>
            </w:r>
            <w:r w:rsidR="00D97D73">
              <w:rPr>
                <w:noProof/>
                <w:webHidden/>
              </w:rPr>
              <w:fldChar w:fldCharType="begin"/>
            </w:r>
            <w:r w:rsidR="00D97D73">
              <w:rPr>
                <w:noProof/>
                <w:webHidden/>
              </w:rPr>
              <w:instrText xml:space="preserve"> PAGEREF _Toc194485513 \h </w:instrText>
            </w:r>
            <w:r w:rsidR="00D97D73">
              <w:rPr>
                <w:noProof/>
                <w:webHidden/>
              </w:rPr>
            </w:r>
            <w:r w:rsidR="00D97D73">
              <w:rPr>
                <w:noProof/>
                <w:webHidden/>
              </w:rPr>
              <w:fldChar w:fldCharType="separate"/>
            </w:r>
            <w:r w:rsidR="00D97D73">
              <w:rPr>
                <w:noProof/>
                <w:webHidden/>
              </w:rPr>
              <w:t>7</w:t>
            </w:r>
            <w:r w:rsidR="00D97D73">
              <w:rPr>
                <w:noProof/>
                <w:webHidden/>
              </w:rPr>
              <w:fldChar w:fldCharType="end"/>
            </w:r>
          </w:hyperlink>
        </w:p>
        <w:p w14:paraId="19988C93" w14:textId="50CB2665" w:rsidR="00D97D73" w:rsidRDefault="00000000">
          <w:pPr>
            <w:pStyle w:val="TOC1"/>
            <w:tabs>
              <w:tab w:val="left" w:pos="1200"/>
            </w:tabs>
            <w:rPr>
              <w:rFonts w:asciiTheme="minorHAnsi" w:eastAsiaTheme="minorEastAsia" w:hAnsiTheme="minorHAnsi"/>
              <w:noProof/>
              <w:color w:val="auto"/>
              <w:kern w:val="2"/>
              <w:lang w:eastAsia="en-GB"/>
              <w14:ligatures w14:val="standardContextual"/>
            </w:rPr>
          </w:pPr>
          <w:hyperlink w:anchor="_Toc194485514" w:history="1">
            <w:r w:rsidR="00D97D73" w:rsidRPr="00171D4F">
              <w:rPr>
                <w:rStyle w:val="Hyperlink"/>
                <w:noProof/>
              </w:rPr>
              <w:t>9.</w:t>
            </w:r>
            <w:r w:rsidR="00D97D73">
              <w:rPr>
                <w:rFonts w:asciiTheme="minorHAnsi" w:eastAsiaTheme="minorEastAsia" w:hAnsiTheme="minorHAnsi"/>
                <w:noProof/>
                <w:color w:val="auto"/>
                <w:kern w:val="2"/>
                <w:lang w:eastAsia="en-GB"/>
                <w14:ligatures w14:val="standardContextual"/>
              </w:rPr>
              <w:tab/>
            </w:r>
            <w:r w:rsidR="00D97D73" w:rsidRPr="00171D4F">
              <w:rPr>
                <w:rStyle w:val="Hyperlink"/>
                <w:noProof/>
              </w:rPr>
              <w:t>Corrective action</w:t>
            </w:r>
            <w:r w:rsidR="00D97D73">
              <w:rPr>
                <w:noProof/>
                <w:webHidden/>
              </w:rPr>
              <w:tab/>
            </w:r>
            <w:r w:rsidR="00D97D73">
              <w:rPr>
                <w:noProof/>
                <w:webHidden/>
              </w:rPr>
              <w:fldChar w:fldCharType="begin"/>
            </w:r>
            <w:r w:rsidR="00D97D73">
              <w:rPr>
                <w:noProof/>
                <w:webHidden/>
              </w:rPr>
              <w:instrText xml:space="preserve"> PAGEREF _Toc194485514 \h </w:instrText>
            </w:r>
            <w:r w:rsidR="00D97D73">
              <w:rPr>
                <w:noProof/>
                <w:webHidden/>
              </w:rPr>
            </w:r>
            <w:r w:rsidR="00D97D73">
              <w:rPr>
                <w:noProof/>
                <w:webHidden/>
              </w:rPr>
              <w:fldChar w:fldCharType="separate"/>
            </w:r>
            <w:r w:rsidR="00D97D73">
              <w:rPr>
                <w:noProof/>
                <w:webHidden/>
              </w:rPr>
              <w:t>7</w:t>
            </w:r>
            <w:r w:rsidR="00D97D73">
              <w:rPr>
                <w:noProof/>
                <w:webHidden/>
              </w:rPr>
              <w:fldChar w:fldCharType="end"/>
            </w:r>
          </w:hyperlink>
        </w:p>
        <w:p w14:paraId="1A86B99A" w14:textId="0C559C80" w:rsidR="00093141" w:rsidRDefault="000C6A83" w:rsidP="00D97D73">
          <w:pPr>
            <w:pStyle w:val="TOC2"/>
          </w:pPr>
          <w:r>
            <w:rPr>
              <w:rFonts w:asciiTheme="majorHAnsi" w:hAnsiTheme="majorHAnsi"/>
            </w:rPr>
            <w:fldChar w:fldCharType="end"/>
          </w:r>
        </w:p>
        <w:p w14:paraId="5D3639C9" w14:textId="3D8B04E3" w:rsidR="00860862" w:rsidRDefault="00000000" w:rsidP="002E7D9C">
          <w:pPr>
            <w:rPr>
              <w:noProof/>
            </w:rPr>
          </w:pPr>
        </w:p>
      </w:sdtContent>
    </w:sdt>
    <w:p w14:paraId="0453C205" w14:textId="77777777" w:rsidR="00566E79" w:rsidRDefault="00566E79">
      <w:pPr>
        <w:snapToGrid/>
        <w:spacing w:after="0" w:line="240" w:lineRule="auto"/>
      </w:pPr>
      <w:r>
        <w:br w:type="page"/>
      </w:r>
    </w:p>
    <w:p w14:paraId="521089E2" w14:textId="740A6E36" w:rsidR="000E5294" w:rsidRPr="0006564A" w:rsidRDefault="000E5294" w:rsidP="00467D36">
      <w:pPr>
        <w:pStyle w:val="Heading2"/>
        <w:numPr>
          <w:ilvl w:val="0"/>
          <w:numId w:val="21"/>
        </w:numPr>
      </w:pPr>
      <w:bookmarkStart w:id="3" w:name="_Toc194485506"/>
      <w:r w:rsidRPr="0006564A">
        <w:lastRenderedPageBreak/>
        <w:t xml:space="preserve">How </w:t>
      </w:r>
      <w:r>
        <w:t>c</w:t>
      </w:r>
      <w:r w:rsidRPr="0006564A">
        <w:t xml:space="preserve">an </w:t>
      </w:r>
      <w:r>
        <w:t>a</w:t>
      </w:r>
      <w:r w:rsidRPr="0006564A">
        <w:t xml:space="preserve"> </w:t>
      </w:r>
      <w:r>
        <w:t>m</w:t>
      </w:r>
      <w:r w:rsidRPr="0006564A">
        <w:t xml:space="preserve">otorist </w:t>
      </w:r>
      <w:r>
        <w:t>l</w:t>
      </w:r>
      <w:r w:rsidRPr="0006564A">
        <w:t xml:space="preserve">odge </w:t>
      </w:r>
      <w:r>
        <w:t>a</w:t>
      </w:r>
      <w:r w:rsidRPr="0006564A">
        <w:t xml:space="preserve">n </w:t>
      </w:r>
      <w:r>
        <w:t>a</w:t>
      </w:r>
      <w:r w:rsidRPr="0006564A">
        <w:t>ppeal</w:t>
      </w:r>
      <w:bookmarkEnd w:id="3"/>
    </w:p>
    <w:p w14:paraId="5F8680FC" w14:textId="46A5C622" w:rsidR="000E5294" w:rsidRDefault="000E5294" w:rsidP="000E5294">
      <w:pPr>
        <w:spacing w:after="0" w:line="240" w:lineRule="auto"/>
        <w:rPr>
          <w:rFonts w:ascii="Arial" w:hAnsi="Arial" w:cs="Arial"/>
        </w:rPr>
      </w:pPr>
      <w:r w:rsidRPr="00CD0CA2">
        <w:rPr>
          <w:rFonts w:ascii="Arial" w:hAnsi="Arial" w:cs="Arial"/>
        </w:rPr>
        <w:t>If you wish to dispute liability for a Parking Charge you may appeal</w:t>
      </w:r>
      <w:r>
        <w:rPr>
          <w:rFonts w:ascii="Arial" w:hAnsi="Arial" w:cs="Arial"/>
        </w:rPr>
        <w:t xml:space="preserve"> either</w:t>
      </w:r>
      <w:r w:rsidR="00467D36">
        <w:rPr>
          <w:rFonts w:ascii="Arial" w:hAnsi="Arial" w:cs="Arial"/>
        </w:rPr>
        <w:t>:</w:t>
      </w:r>
    </w:p>
    <w:p w14:paraId="460F343D" w14:textId="77777777" w:rsidR="000E5294" w:rsidRDefault="000E5294" w:rsidP="000E5294">
      <w:pPr>
        <w:spacing w:after="0" w:line="240" w:lineRule="auto"/>
        <w:rPr>
          <w:rFonts w:ascii="Arial" w:hAnsi="Arial" w:cs="Arial"/>
        </w:rPr>
      </w:pPr>
    </w:p>
    <w:p w14:paraId="417E5C29" w14:textId="77777777" w:rsidR="00467D36" w:rsidRPr="00467D36" w:rsidRDefault="000E5294" w:rsidP="00467D36">
      <w:pPr>
        <w:pStyle w:val="ListNumber"/>
        <w:rPr>
          <w:rFonts w:ascii="Arial" w:hAnsi="Arial" w:cs="Arial"/>
          <w:color w:val="auto"/>
        </w:rPr>
      </w:pPr>
      <w:r w:rsidRPr="004E25EC">
        <w:rPr>
          <w:rFonts w:ascii="Arial" w:hAnsi="Arial" w:cs="Arial"/>
        </w:rPr>
        <w:t xml:space="preserve">directly via the </w:t>
      </w:r>
      <w:hyperlink r:id="rId11" w:history="1">
        <w:proofErr w:type="spellStart"/>
        <w:r w:rsidRPr="00467D36">
          <w:rPr>
            <w:rStyle w:val="Hyperlink"/>
            <w:rFonts w:ascii="Arial" w:hAnsi="Arial" w:cs="Arial"/>
            <w:color w:val="auto"/>
          </w:rPr>
          <w:t>Parksmart</w:t>
        </w:r>
        <w:proofErr w:type="spellEnd"/>
        <w:r w:rsidRPr="00467D36">
          <w:rPr>
            <w:rStyle w:val="Hyperlink"/>
            <w:rFonts w:ascii="Arial" w:hAnsi="Arial" w:cs="Arial"/>
            <w:color w:val="auto"/>
          </w:rPr>
          <w:t xml:space="preserve"> app</w:t>
        </w:r>
      </w:hyperlink>
      <w:r w:rsidRPr="00467D36">
        <w:rPr>
          <w:rFonts w:ascii="Arial" w:hAnsi="Arial" w:cs="Arial"/>
          <w:color w:val="auto"/>
        </w:rPr>
        <w:t xml:space="preserve"> </w:t>
      </w:r>
    </w:p>
    <w:p w14:paraId="16A5E3DE" w14:textId="77777777" w:rsidR="00467D36" w:rsidRPr="00467D36" w:rsidRDefault="000E5294" w:rsidP="00467D36">
      <w:pPr>
        <w:pStyle w:val="ListNumber"/>
        <w:rPr>
          <w:rFonts w:ascii="Arial" w:hAnsi="Arial" w:cs="Arial"/>
          <w:color w:val="auto"/>
        </w:rPr>
      </w:pPr>
      <w:r w:rsidRPr="00467D36">
        <w:rPr>
          <w:rFonts w:ascii="Arial" w:hAnsi="Arial" w:cs="Arial"/>
          <w:color w:val="auto"/>
        </w:rPr>
        <w:t>In writing to:</w:t>
      </w:r>
    </w:p>
    <w:p w14:paraId="4F93E939" w14:textId="77777777" w:rsidR="00467D36" w:rsidRPr="00467D36" w:rsidRDefault="000E5294" w:rsidP="00467D36">
      <w:pPr>
        <w:pStyle w:val="ListNumber"/>
        <w:numPr>
          <w:ilvl w:val="0"/>
          <w:numId w:val="0"/>
        </w:numPr>
        <w:ind w:left="1021"/>
        <w:rPr>
          <w:rFonts w:ascii="Arial" w:hAnsi="Arial" w:cs="Arial"/>
          <w:color w:val="auto"/>
        </w:rPr>
      </w:pPr>
      <w:r w:rsidRPr="00467D36">
        <w:rPr>
          <w:rFonts w:ascii="Arial" w:hAnsi="Arial" w:cs="Arial"/>
          <w:color w:val="auto"/>
        </w:rPr>
        <w:t>Estates &amp; Facilities Helpdesk -Travel &amp; Transport</w:t>
      </w:r>
    </w:p>
    <w:p w14:paraId="681303C2" w14:textId="77777777" w:rsidR="00467D36" w:rsidRPr="00467D36" w:rsidRDefault="000E5294" w:rsidP="00467D36">
      <w:pPr>
        <w:pStyle w:val="ListNumber"/>
        <w:numPr>
          <w:ilvl w:val="0"/>
          <w:numId w:val="0"/>
        </w:numPr>
        <w:ind w:left="1021"/>
        <w:rPr>
          <w:rFonts w:ascii="Arial" w:hAnsi="Arial" w:cs="Arial"/>
          <w:color w:val="auto"/>
        </w:rPr>
      </w:pPr>
      <w:r w:rsidRPr="00467D36">
        <w:rPr>
          <w:rFonts w:ascii="Arial" w:hAnsi="Arial" w:cs="Arial"/>
          <w:color w:val="auto"/>
        </w:rPr>
        <w:t>University of Essex</w:t>
      </w:r>
    </w:p>
    <w:p w14:paraId="3E987346" w14:textId="77777777" w:rsidR="00467D36" w:rsidRPr="00467D36" w:rsidRDefault="000E5294" w:rsidP="00467D36">
      <w:pPr>
        <w:pStyle w:val="ListNumber"/>
        <w:numPr>
          <w:ilvl w:val="0"/>
          <w:numId w:val="0"/>
        </w:numPr>
        <w:ind w:left="1021"/>
        <w:rPr>
          <w:rFonts w:ascii="Arial" w:hAnsi="Arial" w:cs="Arial"/>
          <w:color w:val="auto"/>
        </w:rPr>
      </w:pPr>
      <w:r w:rsidRPr="00467D36">
        <w:rPr>
          <w:rFonts w:ascii="Arial" w:hAnsi="Arial" w:cs="Arial"/>
          <w:color w:val="auto"/>
        </w:rPr>
        <w:t>Wivenhoe Park</w:t>
      </w:r>
    </w:p>
    <w:p w14:paraId="7796D723" w14:textId="77777777" w:rsidR="00467D36" w:rsidRPr="00467D36" w:rsidRDefault="000E5294" w:rsidP="00467D36">
      <w:pPr>
        <w:pStyle w:val="ListNumber"/>
        <w:numPr>
          <w:ilvl w:val="0"/>
          <w:numId w:val="0"/>
        </w:numPr>
        <w:ind w:left="1021"/>
        <w:rPr>
          <w:rFonts w:ascii="Arial" w:hAnsi="Arial" w:cs="Arial"/>
          <w:color w:val="auto"/>
        </w:rPr>
      </w:pPr>
      <w:r w:rsidRPr="00467D36">
        <w:rPr>
          <w:rFonts w:ascii="Arial" w:hAnsi="Arial" w:cs="Arial"/>
          <w:color w:val="auto"/>
        </w:rPr>
        <w:t>Colchester</w:t>
      </w:r>
    </w:p>
    <w:p w14:paraId="5DC499D6" w14:textId="77777777" w:rsidR="00467D36" w:rsidRPr="00467D36" w:rsidRDefault="000E5294" w:rsidP="00467D36">
      <w:pPr>
        <w:pStyle w:val="ListNumber"/>
        <w:numPr>
          <w:ilvl w:val="0"/>
          <w:numId w:val="0"/>
        </w:numPr>
        <w:ind w:left="1021"/>
        <w:rPr>
          <w:rFonts w:ascii="Arial" w:hAnsi="Arial" w:cs="Arial"/>
          <w:color w:val="auto"/>
        </w:rPr>
      </w:pPr>
      <w:r w:rsidRPr="00467D36">
        <w:rPr>
          <w:rFonts w:ascii="Arial" w:hAnsi="Arial" w:cs="Arial"/>
          <w:color w:val="auto"/>
        </w:rPr>
        <w:t>Essex</w:t>
      </w:r>
    </w:p>
    <w:p w14:paraId="56035B92" w14:textId="77777777" w:rsidR="00467D36" w:rsidRPr="00467D36" w:rsidRDefault="000E5294" w:rsidP="00467D36">
      <w:pPr>
        <w:pStyle w:val="ListNumber"/>
        <w:numPr>
          <w:ilvl w:val="0"/>
          <w:numId w:val="0"/>
        </w:numPr>
        <w:ind w:left="1021"/>
        <w:rPr>
          <w:rFonts w:ascii="Arial" w:hAnsi="Arial" w:cs="Arial"/>
          <w:color w:val="auto"/>
        </w:rPr>
      </w:pPr>
      <w:r w:rsidRPr="00467D36">
        <w:rPr>
          <w:rFonts w:ascii="Arial" w:hAnsi="Arial" w:cs="Arial"/>
          <w:color w:val="auto"/>
        </w:rPr>
        <w:t>CO4 3SQ</w:t>
      </w:r>
    </w:p>
    <w:p w14:paraId="0AC8CB49" w14:textId="04A04919" w:rsidR="00130CBD" w:rsidRPr="00D97D73" w:rsidRDefault="000E5294" w:rsidP="00D97D73">
      <w:pPr>
        <w:pStyle w:val="ListNumber"/>
        <w:rPr>
          <w:rFonts w:ascii="Arial" w:hAnsi="Arial" w:cs="Arial"/>
          <w:color w:val="auto"/>
        </w:rPr>
      </w:pPr>
      <w:r w:rsidRPr="00467D36">
        <w:rPr>
          <w:rFonts w:ascii="Arial" w:hAnsi="Arial" w:cs="Arial"/>
          <w:color w:val="auto"/>
        </w:rPr>
        <w:t xml:space="preserve">or email Travel &amp; Transport: </w:t>
      </w:r>
      <w:hyperlink r:id="rId12" w:history="1">
        <w:r w:rsidRPr="00467D36">
          <w:rPr>
            <w:rStyle w:val="Hyperlink"/>
            <w:color w:val="auto"/>
          </w:rPr>
          <w:t>ems-helpdesk@essex.ac.uk</w:t>
        </w:r>
      </w:hyperlink>
      <w:r w:rsidRPr="00467D36">
        <w:rPr>
          <w:color w:val="auto"/>
        </w:rPr>
        <w:t xml:space="preserve"> </w:t>
      </w:r>
    </w:p>
    <w:p w14:paraId="7E67741E" w14:textId="009FCFC2" w:rsidR="002D574E" w:rsidRPr="0006564A" w:rsidRDefault="002D574E" w:rsidP="00467D36">
      <w:pPr>
        <w:pStyle w:val="Heading2"/>
        <w:numPr>
          <w:ilvl w:val="0"/>
          <w:numId w:val="21"/>
        </w:numPr>
      </w:pPr>
      <w:bookmarkStart w:id="4" w:name="_Toc194485507"/>
      <w:r>
        <w:t>Recording appeals</w:t>
      </w:r>
      <w:bookmarkEnd w:id="4"/>
      <w:r>
        <w:t xml:space="preserve"> </w:t>
      </w:r>
    </w:p>
    <w:p w14:paraId="61DEAE7D" w14:textId="77777777" w:rsidR="002D574E" w:rsidRDefault="002D574E" w:rsidP="00D97D73">
      <w:r>
        <w:t xml:space="preserve">Depending on how the appeal has been registered depends on how it is processed – either by </w:t>
      </w:r>
      <w:proofErr w:type="gramStart"/>
      <w:r>
        <w:t>our</w:t>
      </w:r>
      <w:proofErr w:type="gramEnd"/>
    </w:p>
    <w:p w14:paraId="36D8DA89" w14:textId="77777777" w:rsidR="002D574E" w:rsidRDefault="002D574E" w:rsidP="00D97D73">
      <w:pPr>
        <w:rPr>
          <w:rFonts w:ascii="Arial" w:hAnsi="Arial" w:cs="Arial"/>
        </w:rPr>
      </w:pPr>
      <w:r>
        <w:t xml:space="preserve">parking software provider or internal process. </w:t>
      </w:r>
      <w:r w:rsidRPr="00925DC3">
        <w:rPr>
          <w:rFonts w:ascii="Arial" w:hAnsi="Arial" w:cs="Arial"/>
        </w:rPr>
        <w:t>When an appeal has been registered, enforcement</w:t>
      </w:r>
    </w:p>
    <w:p w14:paraId="38448D8A" w14:textId="77777777" w:rsidR="002D574E" w:rsidRDefault="002D574E" w:rsidP="00D97D73">
      <w:pPr>
        <w:rPr>
          <w:rFonts w:ascii="Arial" w:hAnsi="Arial" w:cs="Arial"/>
        </w:rPr>
      </w:pPr>
      <w:r w:rsidRPr="00925DC3">
        <w:rPr>
          <w:rFonts w:ascii="Arial" w:hAnsi="Arial" w:cs="Arial"/>
        </w:rPr>
        <w:t>action shall be paused.</w:t>
      </w:r>
    </w:p>
    <w:p w14:paraId="5F5EA95B" w14:textId="77777777" w:rsidR="00D97D73" w:rsidRDefault="002D574E" w:rsidP="00D97D73">
      <w:pPr>
        <w:pStyle w:val="ListParagraph"/>
        <w:numPr>
          <w:ilvl w:val="1"/>
          <w:numId w:val="21"/>
        </w:numPr>
        <w:ind w:left="720" w:hanging="720"/>
      </w:pPr>
      <w:r w:rsidRPr="00925DC3">
        <w:t xml:space="preserve">Appeals must be received within 28 days beginning with the day after that on which this notice is given. </w:t>
      </w:r>
    </w:p>
    <w:p w14:paraId="492405F3" w14:textId="7799B917" w:rsidR="00467D36" w:rsidRPr="00467D36" w:rsidRDefault="002D574E" w:rsidP="00D97D73">
      <w:pPr>
        <w:pStyle w:val="ListParagraph"/>
        <w:numPr>
          <w:ilvl w:val="1"/>
          <w:numId w:val="21"/>
        </w:numPr>
        <w:ind w:left="720" w:hanging="720"/>
      </w:pPr>
      <w:r w:rsidRPr="00D97D73">
        <w:rPr>
          <w:rFonts w:ascii="Arial" w:hAnsi="Arial" w:cs="Arial"/>
        </w:rPr>
        <w:t>You must provide your full name and address, the vehicle registration number and the Parking Reference at the top of the Parking Charge Notice and your full reasons for contesting liability otherwise your appeal will not be processed</w:t>
      </w:r>
      <w:r w:rsidR="00467D36" w:rsidRPr="00D97D73">
        <w:rPr>
          <w:rFonts w:ascii="Arial" w:hAnsi="Arial" w:cs="Arial"/>
        </w:rPr>
        <w:t>.</w:t>
      </w:r>
    </w:p>
    <w:p w14:paraId="145B749E" w14:textId="77777777" w:rsidR="00467D36" w:rsidRPr="00467D36" w:rsidRDefault="002D574E" w:rsidP="00D97D73">
      <w:pPr>
        <w:pStyle w:val="ListParagraph"/>
        <w:numPr>
          <w:ilvl w:val="1"/>
          <w:numId w:val="21"/>
        </w:numPr>
        <w:ind w:left="720" w:hanging="720"/>
      </w:pPr>
      <w:r w:rsidRPr="00467D36">
        <w:rPr>
          <w:rFonts w:ascii="Arial" w:hAnsi="Arial" w:cs="Arial"/>
        </w:rPr>
        <w:t xml:space="preserve">Appeal decisions should be provided within 28 days of submission. </w:t>
      </w:r>
    </w:p>
    <w:p w14:paraId="1F3754B2" w14:textId="77777777" w:rsidR="00467D36" w:rsidRPr="00467D36" w:rsidRDefault="002D574E" w:rsidP="00D97D73">
      <w:pPr>
        <w:pStyle w:val="ListParagraph"/>
        <w:numPr>
          <w:ilvl w:val="1"/>
          <w:numId w:val="21"/>
        </w:numPr>
        <w:ind w:left="720" w:hanging="720"/>
      </w:pPr>
      <w:proofErr w:type="gramStart"/>
      <w:r w:rsidRPr="00467D36">
        <w:rPr>
          <w:rFonts w:ascii="Arial" w:hAnsi="Arial" w:cs="Arial"/>
        </w:rPr>
        <w:t>In the event that</w:t>
      </w:r>
      <w:proofErr w:type="gramEnd"/>
      <w:r w:rsidRPr="00467D36">
        <w:rPr>
          <w:rFonts w:ascii="Arial" w:hAnsi="Arial" w:cs="Arial"/>
        </w:rPr>
        <w:t xml:space="preserve"> your appeal is unsuccessful then we will provide you with the appropriate details enabling you to lodge a further appeal to the Independent Appeals Service. Details of the </w:t>
      </w:r>
      <w:r w:rsidRPr="00467D36">
        <w:rPr>
          <w:rFonts w:ascii="Arial" w:hAnsi="Arial" w:cs="Arial"/>
        </w:rPr>
        <w:lastRenderedPageBreak/>
        <w:t xml:space="preserve">appeals procedure can be found at </w:t>
      </w:r>
      <w:hyperlink r:id="rId13" w:history="1">
        <w:r w:rsidRPr="00467D36">
          <w:rPr>
            <w:rStyle w:val="Hyperlink"/>
            <w:rFonts w:ascii="Arial" w:hAnsi="Arial" w:cs="Arial"/>
          </w:rPr>
          <w:t>www.theIAS.org</w:t>
        </w:r>
      </w:hyperlink>
      <w:r w:rsidRPr="00467D36">
        <w:rPr>
          <w:rFonts w:ascii="Arial" w:hAnsi="Arial" w:cs="Arial"/>
        </w:rPr>
        <w:t xml:space="preserve"> . The Independent Appeals Service (www.theIAS.org) provides an Alternative Dispute Resolution scheme for disputes of this type. </w:t>
      </w:r>
    </w:p>
    <w:p w14:paraId="1620622F" w14:textId="77777777" w:rsidR="00467D36" w:rsidRPr="00467D36" w:rsidRDefault="002D574E" w:rsidP="00D97D73">
      <w:pPr>
        <w:pStyle w:val="ListParagraph"/>
        <w:numPr>
          <w:ilvl w:val="1"/>
          <w:numId w:val="21"/>
        </w:numPr>
        <w:ind w:left="720" w:hanging="720"/>
      </w:pPr>
      <w:r w:rsidRPr="00467D36">
        <w:rPr>
          <w:rFonts w:ascii="Arial" w:hAnsi="Arial" w:cs="Arial"/>
        </w:rPr>
        <w:t xml:space="preserve">We will engage with the IAS Standard Appeals Service providing you comply with our internal appeals procedure as detailed herein and that thereafter you lodge an appeal to the IAS within 28 days of rejection. </w:t>
      </w:r>
    </w:p>
    <w:p w14:paraId="74C6819E" w14:textId="0009E199" w:rsidR="002D574E" w:rsidRPr="00467D36" w:rsidRDefault="002D574E" w:rsidP="00D97D73">
      <w:pPr>
        <w:pStyle w:val="ListParagraph"/>
        <w:numPr>
          <w:ilvl w:val="1"/>
          <w:numId w:val="21"/>
        </w:numPr>
        <w:ind w:left="720" w:hanging="720"/>
      </w:pPr>
      <w:r w:rsidRPr="00467D36">
        <w:rPr>
          <w:rFonts w:ascii="Arial" w:hAnsi="Arial" w:cs="Arial"/>
        </w:rPr>
        <w:t>If you do appeal and do not hear from us within 28 days then please contact us, do not assume that your appeal has been successful.</w:t>
      </w:r>
    </w:p>
    <w:p w14:paraId="13A02A59" w14:textId="522658F3" w:rsidR="00A9314A" w:rsidRPr="0006564A" w:rsidRDefault="00A9314A" w:rsidP="00467D36">
      <w:pPr>
        <w:pStyle w:val="Heading2"/>
        <w:numPr>
          <w:ilvl w:val="0"/>
          <w:numId w:val="21"/>
        </w:numPr>
      </w:pPr>
      <w:bookmarkStart w:id="5" w:name="_Toc194485508"/>
      <w:r>
        <w:t>Appeals out of time</w:t>
      </w:r>
      <w:bookmarkEnd w:id="5"/>
      <w:r>
        <w:t xml:space="preserve"> </w:t>
      </w:r>
    </w:p>
    <w:p w14:paraId="02856091" w14:textId="77777777" w:rsidR="00A9314A" w:rsidRDefault="00A9314A" w:rsidP="00467D36">
      <w:r w:rsidRPr="00925DC3">
        <w:t>We will only consider appeals that fall out of the deadline time in exceptional circumstances.</w:t>
      </w:r>
    </w:p>
    <w:p w14:paraId="098961DE" w14:textId="77777777" w:rsidR="00467D36" w:rsidRDefault="00A9314A" w:rsidP="00467D36">
      <w:pPr>
        <w:pStyle w:val="ListParagraph"/>
        <w:numPr>
          <w:ilvl w:val="1"/>
          <w:numId w:val="22"/>
        </w:numPr>
      </w:pPr>
      <w:r>
        <w:t>Where the registered keeper can evidence that they were not the driver and evidence they were not aware that a parking charge had been issued. This includes the recipient being away or abroad, hospitalised as an inpatient, or delivered to the wrong address through no fault of the motorist.</w:t>
      </w:r>
    </w:p>
    <w:p w14:paraId="0DAB0039" w14:textId="77777777" w:rsidR="00467D36" w:rsidRDefault="00A9314A" w:rsidP="00467D36">
      <w:pPr>
        <w:pStyle w:val="ListParagraph"/>
        <w:numPr>
          <w:ilvl w:val="1"/>
          <w:numId w:val="22"/>
        </w:numPr>
      </w:pPr>
      <w:r>
        <w:t xml:space="preserve">Where the Registered Keeper has changed their address and has failed to inform the DVLA in accordance with Part IV (regulation 18) of the Road Vehicles Registration and Licensing Regulations 2002, this shall not be classed as exceptional on its own. </w:t>
      </w:r>
    </w:p>
    <w:p w14:paraId="47314DD0" w14:textId="59E6FDFF" w:rsidR="00A9314A" w:rsidRDefault="00A9314A" w:rsidP="00467D36">
      <w:pPr>
        <w:pStyle w:val="ListParagraph"/>
        <w:numPr>
          <w:ilvl w:val="1"/>
          <w:numId w:val="22"/>
        </w:numPr>
      </w:pPr>
      <w:r>
        <w:t xml:space="preserve">Organisations may require the motorist to sign a statement of truth confirming that they have not received any previous correspondence. </w:t>
      </w:r>
    </w:p>
    <w:p w14:paraId="4982FD34" w14:textId="77777777" w:rsidR="00A9314A" w:rsidRDefault="00A9314A" w:rsidP="00A9314A">
      <w:r>
        <w:t xml:space="preserve">If exceptional circumstances have been established, then the parking charge shall </w:t>
      </w:r>
      <w:proofErr w:type="gramStart"/>
      <w:r>
        <w:t>revert back</w:t>
      </w:r>
      <w:proofErr w:type="gramEnd"/>
      <w:r>
        <w:t xml:space="preserve"> to the start of the 28-day period and any enforcement action will be paused.</w:t>
      </w:r>
    </w:p>
    <w:p w14:paraId="3FE6C53F" w14:textId="62E37714" w:rsidR="00A9314A" w:rsidRPr="0006564A" w:rsidRDefault="00A9314A" w:rsidP="00467D36">
      <w:pPr>
        <w:pStyle w:val="Heading2"/>
        <w:numPr>
          <w:ilvl w:val="0"/>
          <w:numId w:val="22"/>
        </w:numPr>
      </w:pPr>
      <w:bookmarkStart w:id="6" w:name="_Toc194485509"/>
      <w:r>
        <w:t>Investigating the appeal</w:t>
      </w:r>
      <w:bookmarkEnd w:id="6"/>
    </w:p>
    <w:p w14:paraId="1329DD27" w14:textId="082A13C2" w:rsidR="00A9314A" w:rsidRDefault="00A9314A" w:rsidP="00467D36">
      <w:r>
        <w:t>When investigating an appeal, the following shall be considered</w:t>
      </w:r>
      <w:r w:rsidR="00467D36">
        <w:t>:</w:t>
      </w:r>
    </w:p>
    <w:p w14:paraId="11E9A5CD" w14:textId="77777777" w:rsidR="00467D36" w:rsidRDefault="00467D36" w:rsidP="00467D36">
      <w:pPr>
        <w:numPr>
          <w:ilvl w:val="1"/>
          <w:numId w:val="0"/>
        </w:numPr>
        <w:ind w:left="720" w:hanging="720"/>
      </w:pPr>
      <w:r>
        <w:t>4.1</w:t>
      </w:r>
      <w:r>
        <w:tab/>
      </w:r>
      <w:r w:rsidR="00A9314A">
        <w:t>Reviewing any evidence that has been supplied by the motorist.</w:t>
      </w:r>
    </w:p>
    <w:p w14:paraId="61A49076" w14:textId="2DE15468" w:rsidR="00467D36" w:rsidRDefault="00467D36" w:rsidP="00467D36">
      <w:pPr>
        <w:numPr>
          <w:ilvl w:val="1"/>
          <w:numId w:val="0"/>
        </w:numPr>
        <w:ind w:left="720" w:hanging="720"/>
      </w:pPr>
      <w:r>
        <w:t>4.2</w:t>
      </w:r>
      <w:r>
        <w:tab/>
      </w:r>
      <w:r w:rsidR="00A9314A">
        <w:t>Checking images captured</w:t>
      </w:r>
      <w:r>
        <w:t>.</w:t>
      </w:r>
    </w:p>
    <w:p w14:paraId="44D0BB28" w14:textId="3D5132B8" w:rsidR="00467D36" w:rsidRDefault="00467D36" w:rsidP="00467D36">
      <w:pPr>
        <w:numPr>
          <w:ilvl w:val="1"/>
          <w:numId w:val="0"/>
        </w:numPr>
        <w:ind w:left="720" w:hanging="720"/>
      </w:pPr>
      <w:r>
        <w:t>4.3</w:t>
      </w:r>
      <w:r>
        <w:tab/>
      </w:r>
      <w:r w:rsidR="00A9314A">
        <w:t>Checking CCTV footage</w:t>
      </w:r>
      <w:r>
        <w:t>.</w:t>
      </w:r>
    </w:p>
    <w:p w14:paraId="3201651C" w14:textId="77777777" w:rsidR="00467D36" w:rsidRDefault="00467D36" w:rsidP="00467D36">
      <w:pPr>
        <w:numPr>
          <w:ilvl w:val="1"/>
          <w:numId w:val="0"/>
        </w:numPr>
        <w:ind w:left="720" w:hanging="720"/>
      </w:pPr>
      <w:r>
        <w:t>4.4</w:t>
      </w:r>
      <w:r>
        <w:tab/>
      </w:r>
      <w:r w:rsidR="00A9314A">
        <w:t>Reviewing witness statements from parking attendants</w:t>
      </w:r>
      <w:r>
        <w:t>.</w:t>
      </w:r>
    </w:p>
    <w:p w14:paraId="3D5CCC04" w14:textId="77777777" w:rsidR="00467D36" w:rsidRDefault="00467D36" w:rsidP="00467D36">
      <w:pPr>
        <w:numPr>
          <w:ilvl w:val="1"/>
          <w:numId w:val="0"/>
        </w:numPr>
        <w:ind w:left="720" w:hanging="720"/>
      </w:pPr>
      <w:r>
        <w:t>4.5</w:t>
      </w:r>
      <w:r>
        <w:tab/>
      </w:r>
      <w:r w:rsidR="00A9314A">
        <w:t xml:space="preserve">Checking logs of web-based payment providers to ensure that they were working correctly at the time of issue. </w:t>
      </w:r>
    </w:p>
    <w:p w14:paraId="0FA2A017" w14:textId="1D9C102E" w:rsidR="00A9314A" w:rsidRDefault="00467D36" w:rsidP="00467D36">
      <w:pPr>
        <w:numPr>
          <w:ilvl w:val="1"/>
          <w:numId w:val="0"/>
        </w:numPr>
        <w:ind w:left="720" w:hanging="720"/>
      </w:pPr>
      <w:r>
        <w:lastRenderedPageBreak/>
        <w:t>4.6</w:t>
      </w:r>
      <w:r>
        <w:tab/>
      </w:r>
      <w:r w:rsidR="00A9314A">
        <w:t>Checking for accidental keying errors</w:t>
      </w:r>
      <w:r w:rsidR="00DC19B2">
        <w:t>.</w:t>
      </w:r>
      <w:r w:rsidR="00DC19B2">
        <w:rPr>
          <w:rStyle w:val="FootnoteReference"/>
        </w:rPr>
        <w:footnoteReference w:id="1"/>
      </w:r>
    </w:p>
    <w:p w14:paraId="73EF6D73" w14:textId="77777777" w:rsidR="00467D36" w:rsidRDefault="00467D36" w:rsidP="00467D36">
      <w:pPr>
        <w:pStyle w:val="ListParagraph"/>
        <w:numPr>
          <w:ilvl w:val="1"/>
          <w:numId w:val="0"/>
        </w:numPr>
        <w:ind w:left="720" w:hanging="720"/>
      </w:pPr>
      <w:r>
        <w:t>4.7</w:t>
      </w:r>
      <w:r>
        <w:tab/>
      </w:r>
      <w:r w:rsidR="00A9314A">
        <w:t xml:space="preserve">Checking to see if the appellant has any exemptions that may warrant the cancelling of the parking charge. </w:t>
      </w:r>
    </w:p>
    <w:p w14:paraId="693CC369" w14:textId="77777777" w:rsidR="00467D36" w:rsidRDefault="00467D36" w:rsidP="00467D36">
      <w:pPr>
        <w:pStyle w:val="ListParagraph"/>
        <w:numPr>
          <w:ilvl w:val="1"/>
          <w:numId w:val="0"/>
        </w:numPr>
        <w:ind w:left="720" w:hanging="720"/>
      </w:pPr>
      <w:r>
        <w:t>4.8</w:t>
      </w:r>
      <w:r>
        <w:tab/>
      </w:r>
      <w:r w:rsidR="00A9314A">
        <w:t xml:space="preserve">Investigating any mitigating circumstances provided by the appellant. </w:t>
      </w:r>
    </w:p>
    <w:p w14:paraId="4114EA44" w14:textId="59550BEE" w:rsidR="00A9314A" w:rsidRDefault="00467D36" w:rsidP="00467D36">
      <w:pPr>
        <w:pStyle w:val="ListParagraph"/>
        <w:numPr>
          <w:ilvl w:val="1"/>
          <w:numId w:val="0"/>
        </w:numPr>
        <w:ind w:left="720" w:hanging="720"/>
      </w:pPr>
      <w:r>
        <w:t>4.9</w:t>
      </w:r>
      <w:r>
        <w:tab/>
      </w:r>
      <w:r w:rsidR="00A9314A">
        <w:t>Checking to see if reasonable adaptations have been made for motorists who reveal a disability.</w:t>
      </w:r>
    </w:p>
    <w:p w14:paraId="5A6C190E" w14:textId="092E4841" w:rsidR="00A9314A" w:rsidRDefault="00D97D73" w:rsidP="00467D36">
      <w:pPr>
        <w:ind w:left="720" w:hanging="720"/>
      </w:pPr>
      <w:r>
        <w:tab/>
      </w:r>
      <w:r w:rsidR="00A9314A" w:rsidRPr="00925DC3">
        <w:t xml:space="preserve">When investigating an appeal additional information may have to be requested from the motorist to appropriately consider the circumstances. </w:t>
      </w:r>
    </w:p>
    <w:p w14:paraId="2D90FADC" w14:textId="2BD9599C" w:rsidR="00A9314A" w:rsidRDefault="00467D36" w:rsidP="00467D36">
      <w:pPr>
        <w:pStyle w:val="ListParagraph"/>
        <w:numPr>
          <w:ilvl w:val="1"/>
          <w:numId w:val="0"/>
        </w:numPr>
        <w:ind w:left="720" w:hanging="720"/>
      </w:pPr>
      <w:r>
        <w:t>4.10</w:t>
      </w:r>
      <w:r>
        <w:tab/>
      </w:r>
      <w:r w:rsidR="00A9314A">
        <w:t xml:space="preserve">Where a vehicle has been parked in an accessible bay and the motorist had forgotten to display the valid Blue Badge required for the vehicle to be permitted to park in that bay the motorist will need to provide a copy of a valid blue badge. They will need to identify whether it is their blue badge, or if not what the circumstances were regarding the parking event and their relationship with the Blue Badge holder. </w:t>
      </w:r>
    </w:p>
    <w:p w14:paraId="2DF4833E" w14:textId="4860BB72" w:rsidR="00A9314A" w:rsidRDefault="00A9314A" w:rsidP="00467D36">
      <w:pPr>
        <w:pStyle w:val="ListParagraph"/>
        <w:numPr>
          <w:ilvl w:val="1"/>
          <w:numId w:val="0"/>
        </w:numPr>
        <w:ind w:left="720" w:hanging="720"/>
      </w:pPr>
      <w:r>
        <w:t>4.11</w:t>
      </w:r>
      <w:r w:rsidR="00467D36">
        <w:tab/>
      </w:r>
      <w:r>
        <w:t xml:space="preserve">Where a parking charge has been issued to an emergency services vehicle, the emergency service in question can provide a letter on headed paper confirming the vehicle was parked in the course of its duty while attending an emergency. </w:t>
      </w:r>
    </w:p>
    <w:p w14:paraId="20B94F47" w14:textId="7092819E" w:rsidR="00A9314A" w:rsidRDefault="00A9314A" w:rsidP="00467D36">
      <w:pPr>
        <w:pStyle w:val="ListParagraph"/>
        <w:numPr>
          <w:ilvl w:val="1"/>
          <w:numId w:val="0"/>
        </w:numPr>
        <w:ind w:left="720" w:hanging="720"/>
      </w:pPr>
      <w:r>
        <w:t>4.12</w:t>
      </w:r>
      <w:r w:rsidR="00467D36">
        <w:tab/>
      </w:r>
      <w:r>
        <w:t>Where a vehicle has been driven on to controlled land due to instruction from a member of the emergency services the motorist would need to have evidence from the emergency service that there had been an issue which resulted in the request for the vehicle to enter the controlled land.</w:t>
      </w:r>
    </w:p>
    <w:p w14:paraId="00232ADE" w14:textId="1C760BDF" w:rsidR="00A9314A" w:rsidRDefault="00A9314A" w:rsidP="00467D36">
      <w:pPr>
        <w:pStyle w:val="ListParagraph"/>
        <w:numPr>
          <w:ilvl w:val="1"/>
          <w:numId w:val="0"/>
        </w:numPr>
        <w:ind w:left="720" w:hanging="720"/>
      </w:pPr>
      <w:r>
        <w:t>4.13</w:t>
      </w:r>
      <w:r w:rsidR="00467D36">
        <w:tab/>
      </w:r>
      <w:r>
        <w:t xml:space="preserve">Where a breakdown or recovery vehicle was attending an incident, the company or organisation must provide an activity log to demonstrate the date, time and location, the details of the vehicle that was being attended to and the nature of what the issue was and what the resolution was. </w:t>
      </w:r>
    </w:p>
    <w:p w14:paraId="6030327B" w14:textId="23416644" w:rsidR="00A9314A" w:rsidRDefault="00A9314A" w:rsidP="00467D36">
      <w:pPr>
        <w:pStyle w:val="ListParagraph"/>
        <w:numPr>
          <w:ilvl w:val="1"/>
          <w:numId w:val="0"/>
        </w:numPr>
        <w:ind w:left="720" w:hanging="720"/>
      </w:pPr>
      <w:r>
        <w:t>4.14</w:t>
      </w:r>
      <w:r w:rsidR="00467D36">
        <w:tab/>
      </w:r>
      <w:r>
        <w:t xml:space="preserve">Where the vehicle was used by a </w:t>
      </w:r>
      <w:proofErr w:type="gramStart"/>
      <w:r>
        <w:t>Doctor</w:t>
      </w:r>
      <w:proofErr w:type="gramEnd"/>
      <w:r>
        <w:t xml:space="preserve"> attending an emergency call, the Doctor must provide details of their registration with the General Medical Council (GMC) and provide details of the emergency they were attending. They do not need to disclose details of the patient as this would be breaching GDPR. </w:t>
      </w:r>
    </w:p>
    <w:p w14:paraId="340D7C7E" w14:textId="68D26128" w:rsidR="00A9314A" w:rsidRDefault="00A9314A" w:rsidP="00467D36">
      <w:pPr>
        <w:pStyle w:val="ListParagraph"/>
        <w:numPr>
          <w:ilvl w:val="1"/>
          <w:numId w:val="0"/>
        </w:numPr>
        <w:ind w:left="720" w:hanging="720"/>
      </w:pPr>
      <w:r>
        <w:t>4.15</w:t>
      </w:r>
      <w:r w:rsidR="00467D36">
        <w:tab/>
      </w:r>
      <w:r>
        <w:t xml:space="preserve">Where the vehicle would have been permitted to park in the location, but the driver failed to enter the registration number into the terminal. For example a member of a gym who would be permitted to park and has parked in accordance with all the other terms and conditions, but upon entry to the gym they forgot to enter their registration correctly on the terminal the motorist would </w:t>
      </w:r>
      <w:r>
        <w:lastRenderedPageBreak/>
        <w:t>need to produce confirmation on company headed paper from the organisation that they visited that their vehicle was permitted to be parked at the time of issue</w:t>
      </w:r>
    </w:p>
    <w:p w14:paraId="3E9D92F5" w14:textId="08D5D953" w:rsidR="00A9314A" w:rsidRDefault="00A9314A" w:rsidP="00467D36">
      <w:pPr>
        <w:pStyle w:val="Heading2"/>
      </w:pPr>
      <w:bookmarkStart w:id="7" w:name="_Toc194485510"/>
      <w:r w:rsidRPr="00DD5C79">
        <w:t>5.</w:t>
      </w:r>
      <w:r w:rsidR="00111292">
        <w:tab/>
      </w:r>
      <w:r w:rsidRPr="00DD5C79">
        <w:t>Appeal decisions</w:t>
      </w:r>
      <w:bookmarkEnd w:id="7"/>
      <w:r w:rsidRPr="00DD5C79">
        <w:t xml:space="preserve"> </w:t>
      </w:r>
    </w:p>
    <w:p w14:paraId="3E1B8CD5" w14:textId="3A54CF4D" w:rsidR="00A9314A" w:rsidRDefault="00A9314A" w:rsidP="00467D36">
      <w:pPr>
        <w:ind w:left="720" w:hanging="720"/>
      </w:pPr>
      <w:r>
        <w:t>5.1</w:t>
      </w:r>
      <w:r w:rsidR="00467D36">
        <w:tab/>
      </w:r>
      <w:r>
        <w:t xml:space="preserve">Appeal decisions shall be made within 28 days of the appeal being lodged. </w:t>
      </w:r>
    </w:p>
    <w:p w14:paraId="41F69A53" w14:textId="49056C4F" w:rsidR="00A9314A" w:rsidRDefault="00A9314A" w:rsidP="00467D36">
      <w:pPr>
        <w:ind w:left="720" w:hanging="720"/>
      </w:pPr>
      <w:r>
        <w:t>5.2</w:t>
      </w:r>
      <w:r w:rsidR="00467D36">
        <w:tab/>
      </w:r>
      <w:r>
        <w:t>In the event that a decision cannot be made within 28 days the motorist shall be provided with an acknowledgement that the appeal has been received and is being considered and be provided with a timeframe for concluding the appeal</w:t>
      </w:r>
      <w:r w:rsidR="00467D36">
        <w:t>.</w:t>
      </w:r>
    </w:p>
    <w:p w14:paraId="2C8B3EEA" w14:textId="0A4518A2" w:rsidR="00A9314A" w:rsidRPr="00DD5C79" w:rsidRDefault="00A9314A" w:rsidP="00467D36">
      <w:pPr>
        <w:ind w:left="720" w:hanging="720"/>
        <w:rPr>
          <w:rFonts w:ascii="Arial Black" w:hAnsi="Arial Black"/>
          <w:sz w:val="36"/>
          <w:szCs w:val="36"/>
        </w:rPr>
      </w:pPr>
      <w:r>
        <w:t>5.3</w:t>
      </w:r>
      <w:r w:rsidR="00467D36">
        <w:tab/>
      </w:r>
      <w:r>
        <w:t>If an appeal is accepted the parking charge shall be cancelled</w:t>
      </w:r>
      <w:r w:rsidR="00467D36">
        <w:t>.</w:t>
      </w:r>
    </w:p>
    <w:p w14:paraId="74F96BE6" w14:textId="6E4EA130" w:rsidR="00A9314A" w:rsidRDefault="00A9314A" w:rsidP="00467D36">
      <w:pPr>
        <w:ind w:left="720" w:hanging="720"/>
      </w:pPr>
      <w:r>
        <w:t xml:space="preserve">5.4 </w:t>
      </w:r>
      <w:r w:rsidR="00467D36">
        <w:tab/>
      </w:r>
      <w:r>
        <w:t>If an appeal is rejected the appellant shall be afforded the opportunity to appeal to the Appeals Service</w:t>
      </w:r>
      <w:r w:rsidR="00467D36">
        <w:t>.</w:t>
      </w:r>
    </w:p>
    <w:p w14:paraId="06B89CDF" w14:textId="66E58689" w:rsidR="00A9314A" w:rsidRDefault="00A9314A" w:rsidP="00467D36">
      <w:pPr>
        <w:pStyle w:val="Heading2"/>
      </w:pPr>
      <w:bookmarkStart w:id="8" w:name="_Toc194485511"/>
      <w:r w:rsidRPr="00DD5C79">
        <w:t>6.</w:t>
      </w:r>
      <w:r w:rsidR="00111292">
        <w:tab/>
      </w:r>
      <w:r w:rsidRPr="00DD5C79">
        <w:t>Responding to appeals</w:t>
      </w:r>
      <w:bookmarkEnd w:id="8"/>
    </w:p>
    <w:p w14:paraId="7366D75F" w14:textId="6550974B" w:rsidR="00A9314A" w:rsidRDefault="00A9314A" w:rsidP="00467D36">
      <w:pPr>
        <w:ind w:left="720" w:hanging="720"/>
      </w:pPr>
      <w:r>
        <w:t>6.1</w:t>
      </w:r>
      <w:r w:rsidR="00467D36">
        <w:tab/>
      </w:r>
      <w:r w:rsidRPr="00E337BA">
        <w:t>Appeals shall be responded to within 28 days</w:t>
      </w:r>
      <w:r>
        <w:t>.</w:t>
      </w:r>
    </w:p>
    <w:p w14:paraId="4B6158D6" w14:textId="3DB6883D" w:rsidR="00A9314A" w:rsidRDefault="00A9314A" w:rsidP="00467D36">
      <w:pPr>
        <w:ind w:left="720" w:hanging="720"/>
      </w:pPr>
      <w:r>
        <w:t>6.2</w:t>
      </w:r>
      <w:r w:rsidR="00467D36">
        <w:tab/>
      </w:r>
      <w:r w:rsidRPr="00B70851">
        <w:t>The reduced rate of payment should be offered for a further 14 days from the date of</w:t>
      </w:r>
      <w:r>
        <w:t xml:space="preserve"> </w:t>
      </w:r>
      <w:r w:rsidRPr="007421C5">
        <w:t>rejection of the appeal where the original appeal is received within the timeframe for</w:t>
      </w:r>
      <w:r>
        <w:t xml:space="preserve"> </w:t>
      </w:r>
      <w:r w:rsidRPr="007421C5">
        <w:t>making payment at the reduced rate.</w:t>
      </w:r>
    </w:p>
    <w:p w14:paraId="7099F75C" w14:textId="3748504A" w:rsidR="00A9314A" w:rsidRPr="00DD5C79" w:rsidRDefault="00A9314A" w:rsidP="00467D36">
      <w:pPr>
        <w:ind w:left="720" w:hanging="720"/>
        <w:rPr>
          <w:rFonts w:asciiTheme="majorHAnsi" w:hAnsiTheme="majorHAnsi"/>
          <w:sz w:val="48"/>
          <w:szCs w:val="48"/>
        </w:rPr>
      </w:pPr>
      <w:r>
        <w:t>6.3</w:t>
      </w:r>
      <w:r w:rsidR="00111292">
        <w:tab/>
      </w:r>
      <w:r w:rsidRPr="00B70851">
        <w:t>Appeal responses shall:</w:t>
      </w:r>
    </w:p>
    <w:p w14:paraId="5DB37AA8" w14:textId="557F048B" w:rsidR="00A9314A" w:rsidRPr="00B70851" w:rsidRDefault="00111292" w:rsidP="00111292">
      <w:pPr>
        <w:pStyle w:val="ListParagraph"/>
      </w:pPr>
      <w:r>
        <w:t>n</w:t>
      </w:r>
      <w:r w:rsidR="00A9314A" w:rsidRPr="00B70851">
        <w:t>ot imply or cause the recipient to infer statutory authority where none exists</w:t>
      </w:r>
    </w:p>
    <w:p w14:paraId="49757126" w14:textId="34B2D564" w:rsidR="00A9314A" w:rsidRPr="00B70851" w:rsidRDefault="00111292" w:rsidP="00111292">
      <w:pPr>
        <w:pStyle w:val="ListParagraph"/>
      </w:pPr>
      <w:r>
        <w:t>n</w:t>
      </w:r>
      <w:r w:rsidR="00A9314A" w:rsidRPr="00B70851">
        <w:t>ot use prohibited terminology as set out in Annex E of the Code of Practice.</w:t>
      </w:r>
    </w:p>
    <w:p w14:paraId="39828AC8" w14:textId="4CDB8452" w:rsidR="00A9314A" w:rsidRPr="00B70851" w:rsidRDefault="00111292" w:rsidP="00111292">
      <w:pPr>
        <w:pStyle w:val="ListParagraph"/>
      </w:pPr>
      <w:r>
        <w:t>n</w:t>
      </w:r>
      <w:r w:rsidR="00A9314A" w:rsidRPr="00B70851">
        <w:t>ot be threatening or misleading</w:t>
      </w:r>
    </w:p>
    <w:p w14:paraId="6012FB89" w14:textId="7D26B1A6" w:rsidR="00A9314A" w:rsidRPr="00B70851" w:rsidRDefault="00111292" w:rsidP="00111292">
      <w:pPr>
        <w:pStyle w:val="ListParagraph"/>
      </w:pPr>
      <w:r>
        <w:t>n</w:t>
      </w:r>
      <w:r w:rsidR="00A9314A" w:rsidRPr="00B70851">
        <w:t>ot infer potential consequences that cannot be enforced</w:t>
      </w:r>
    </w:p>
    <w:p w14:paraId="5348B1A7" w14:textId="40E2DEDC" w:rsidR="00A9314A" w:rsidRPr="00B70851" w:rsidRDefault="00111292" w:rsidP="00111292">
      <w:pPr>
        <w:pStyle w:val="ListParagraph"/>
      </w:pPr>
      <w:r>
        <w:t>b</w:t>
      </w:r>
      <w:r w:rsidR="00A9314A" w:rsidRPr="00B70851">
        <w:t>e clearly dated</w:t>
      </w:r>
    </w:p>
    <w:p w14:paraId="26D42950" w14:textId="790E5FCE" w:rsidR="00A9314A" w:rsidRPr="00B70851" w:rsidRDefault="00111292" w:rsidP="00111292">
      <w:pPr>
        <w:pStyle w:val="ListParagraph"/>
      </w:pPr>
      <w:r>
        <w:t>i</w:t>
      </w:r>
      <w:r w:rsidR="00A9314A" w:rsidRPr="00B70851">
        <w:t>nclude a contact address</w:t>
      </w:r>
    </w:p>
    <w:p w14:paraId="3441AD24" w14:textId="5CC5CA68" w:rsidR="00A9314A" w:rsidRPr="00B70851" w:rsidRDefault="00111292" w:rsidP="00111292">
      <w:pPr>
        <w:pStyle w:val="ListParagraph"/>
      </w:pPr>
      <w:r>
        <w:t>i</w:t>
      </w:r>
      <w:r w:rsidR="00A9314A" w:rsidRPr="00B70851">
        <w:t>nclude the amount of the debt</w:t>
      </w:r>
    </w:p>
    <w:p w14:paraId="569C1811" w14:textId="52CDDF27" w:rsidR="00A9314A" w:rsidRPr="00B70851" w:rsidRDefault="00111292" w:rsidP="00111292">
      <w:pPr>
        <w:pStyle w:val="ListParagraph"/>
      </w:pPr>
      <w:r>
        <w:t>i</w:t>
      </w:r>
      <w:r w:rsidR="00A9314A" w:rsidRPr="00B70851">
        <w:t>nclude date and time of the contravention for which the original PCN was issued</w:t>
      </w:r>
    </w:p>
    <w:p w14:paraId="3D5423C9" w14:textId="1115EC25" w:rsidR="00A9314A" w:rsidRPr="00B70851" w:rsidRDefault="00111292" w:rsidP="00111292">
      <w:pPr>
        <w:pStyle w:val="ListParagraph"/>
      </w:pPr>
      <w:r>
        <w:t>i</w:t>
      </w:r>
      <w:r w:rsidR="00A9314A" w:rsidRPr="00B70851">
        <w:t>nclude the details of the contravention</w:t>
      </w:r>
    </w:p>
    <w:p w14:paraId="5FEDA72A" w14:textId="5598F2ED" w:rsidR="00A9314A" w:rsidRDefault="00111292" w:rsidP="00111292">
      <w:pPr>
        <w:pStyle w:val="ListParagraph"/>
      </w:pPr>
      <w:r>
        <w:lastRenderedPageBreak/>
        <w:t>i</w:t>
      </w:r>
      <w:r w:rsidR="00A9314A" w:rsidRPr="00B70851">
        <w:t xml:space="preserve">nclude details of how the debt can be paid </w:t>
      </w:r>
      <w:r w:rsidR="00A9314A">
        <w:br/>
      </w:r>
    </w:p>
    <w:p w14:paraId="3B32EB99" w14:textId="11990D75" w:rsidR="00A9314A" w:rsidRDefault="00A9314A" w:rsidP="00111292">
      <w:pPr>
        <w:ind w:left="720" w:hanging="720"/>
      </w:pPr>
      <w:r>
        <w:t>6.4</w:t>
      </w:r>
      <w:r w:rsidR="00111292">
        <w:tab/>
      </w:r>
      <w:r w:rsidRPr="00111292">
        <w:t xml:space="preserve">Responses should also respond to </w:t>
      </w:r>
      <w:proofErr w:type="gramStart"/>
      <w:r w:rsidRPr="00111292">
        <w:t>all of</w:t>
      </w:r>
      <w:proofErr w:type="gramEnd"/>
      <w:r w:rsidRPr="00111292">
        <w:t xml:space="preserve"> the relevant points that the appellant has made in their correspondence.</w:t>
      </w:r>
      <w:r w:rsidRPr="00B70851">
        <w:t xml:space="preserve"> </w:t>
      </w:r>
    </w:p>
    <w:p w14:paraId="1E801A4C" w14:textId="519EE9EB" w:rsidR="00A9314A" w:rsidRDefault="00A9314A" w:rsidP="00111292">
      <w:pPr>
        <w:ind w:left="720" w:hanging="720"/>
      </w:pPr>
      <w:r>
        <w:t>6.5</w:t>
      </w:r>
      <w:r w:rsidR="00111292">
        <w:tab/>
      </w:r>
      <w:r w:rsidRPr="00B70851">
        <w:t xml:space="preserve">Appeal rejection letters should inform the motorist that they </w:t>
      </w:r>
      <w:proofErr w:type="gramStart"/>
      <w:r w:rsidRPr="00B70851">
        <w:t>have the opportunity to</w:t>
      </w:r>
      <w:proofErr w:type="gramEnd"/>
      <w:r w:rsidRPr="00B70851">
        <w:t xml:space="preserve"> appeal to the Appeals Service. They should include the details for how to appeal to the Appeals Service and the fact that they have 28 days to submit their appeal.</w:t>
      </w:r>
    </w:p>
    <w:p w14:paraId="1202520F" w14:textId="2871A46D" w:rsidR="00A9314A" w:rsidRDefault="00A9314A" w:rsidP="00111292">
      <w:pPr>
        <w:pStyle w:val="Heading2"/>
      </w:pPr>
      <w:bookmarkStart w:id="9" w:name="_Toc194485512"/>
      <w:r>
        <w:t>7</w:t>
      </w:r>
      <w:r w:rsidR="00111292">
        <w:t>.</w:t>
      </w:r>
      <w:r w:rsidR="00111292">
        <w:tab/>
      </w:r>
      <w:r>
        <w:t>Independent Appeals Service</w:t>
      </w:r>
      <w:bookmarkEnd w:id="9"/>
      <w:r>
        <w:t xml:space="preserve"> </w:t>
      </w:r>
    </w:p>
    <w:p w14:paraId="7E12B25B" w14:textId="77777777" w:rsidR="00A9314A" w:rsidRDefault="00A9314A" w:rsidP="00111292">
      <w:r w:rsidRPr="00E337BA">
        <w:t xml:space="preserve">Decisions made by the </w:t>
      </w:r>
      <w:hyperlink r:id="rId14" w:history="1">
        <w:r w:rsidRPr="00111292">
          <w:rPr>
            <w:rStyle w:val="Hyperlink"/>
            <w:color w:val="auto"/>
          </w:rPr>
          <w:t>Independent Appeals Service</w:t>
        </w:r>
      </w:hyperlink>
      <w:r w:rsidRPr="00111292">
        <w:rPr>
          <w:color w:val="auto"/>
        </w:rPr>
        <w:t xml:space="preserve"> are </w:t>
      </w:r>
      <w:r w:rsidRPr="00E337BA">
        <w:t xml:space="preserve">binding. If an appeal is allowed then the parking charge shall be cancelled, and no further enforcement action shall occur.  </w:t>
      </w:r>
    </w:p>
    <w:p w14:paraId="2E515401" w14:textId="479BAF70" w:rsidR="00A9314A" w:rsidRDefault="00A9314A" w:rsidP="00111292">
      <w:pPr>
        <w:pStyle w:val="Heading2"/>
      </w:pPr>
      <w:bookmarkStart w:id="10" w:name="_Toc194485513"/>
      <w:r>
        <w:t>8.</w:t>
      </w:r>
      <w:r w:rsidR="00111292">
        <w:tab/>
      </w:r>
      <w:r>
        <w:t>Further challenges</w:t>
      </w:r>
      <w:bookmarkEnd w:id="10"/>
    </w:p>
    <w:p w14:paraId="01108974" w14:textId="77777777" w:rsidR="00A9314A" w:rsidRDefault="00A9314A" w:rsidP="00111292">
      <w:r w:rsidRPr="00E337BA">
        <w:t>If a keeper has appealed the parking charge, and the appeal has been heard and rejected, the keeper may still then identify the driver if they were not the driver themselves, and the driver may still exercise their right of appeal. In this case the appeal process shall revert to stage 1- investigating the appeal.</w:t>
      </w:r>
    </w:p>
    <w:p w14:paraId="7275C782" w14:textId="12CB2B76" w:rsidR="00A9314A" w:rsidRDefault="00A9314A" w:rsidP="00111292">
      <w:pPr>
        <w:pStyle w:val="Heading2"/>
      </w:pPr>
      <w:bookmarkStart w:id="11" w:name="_Toc194485514"/>
      <w:r>
        <w:t>9</w:t>
      </w:r>
      <w:r w:rsidR="00111292">
        <w:t>.</w:t>
      </w:r>
      <w:r w:rsidR="00111292">
        <w:tab/>
      </w:r>
      <w:r>
        <w:t>Corrective action</w:t>
      </w:r>
      <w:bookmarkEnd w:id="11"/>
      <w:r>
        <w:t xml:space="preserve"> </w:t>
      </w:r>
    </w:p>
    <w:p w14:paraId="2B73B20D" w14:textId="77777777" w:rsidR="00A9314A" w:rsidRDefault="00A9314A" w:rsidP="00111292">
      <w:r>
        <w:t xml:space="preserve">If the appeal is upheld, any corrective action required shall be recorded. Corrective action may include: </w:t>
      </w:r>
    </w:p>
    <w:p w14:paraId="10826A6D" w14:textId="089F51A1" w:rsidR="00A9314A" w:rsidRPr="00DD5C79" w:rsidRDefault="00111292" w:rsidP="00111292">
      <w:pPr>
        <w:pStyle w:val="ListParagraph"/>
      </w:pPr>
      <w:r>
        <w:t>s</w:t>
      </w:r>
      <w:r w:rsidR="00A9314A" w:rsidRPr="00DD5C79">
        <w:t xml:space="preserve">taff training </w:t>
      </w:r>
    </w:p>
    <w:p w14:paraId="763998EF" w14:textId="41C81567" w:rsidR="00A9314A" w:rsidRPr="00DD5C79" w:rsidRDefault="00111292" w:rsidP="00111292">
      <w:pPr>
        <w:pStyle w:val="ListParagraph"/>
      </w:pPr>
      <w:r>
        <w:t>s</w:t>
      </w:r>
      <w:r w:rsidR="00A9314A" w:rsidRPr="00DD5C79">
        <w:t>taff disciplinary</w:t>
      </w:r>
    </w:p>
    <w:p w14:paraId="1AACF1A7" w14:textId="2FBB786D" w:rsidR="00A9314A" w:rsidRPr="00DD5C79" w:rsidRDefault="00111292" w:rsidP="00111292">
      <w:pPr>
        <w:pStyle w:val="ListParagraph"/>
      </w:pPr>
      <w:r>
        <w:t>a</w:t>
      </w:r>
      <w:r w:rsidR="00A9314A" w:rsidRPr="00DD5C79">
        <w:t>mending processes</w:t>
      </w:r>
    </w:p>
    <w:p w14:paraId="77BF4BA3" w14:textId="315E7DAC" w:rsidR="00A9314A" w:rsidRPr="00DD5C79" w:rsidRDefault="00111292" w:rsidP="00111292">
      <w:pPr>
        <w:pStyle w:val="ListParagraph"/>
      </w:pPr>
      <w:r>
        <w:t>s</w:t>
      </w:r>
      <w:r w:rsidR="00A9314A" w:rsidRPr="00DD5C79">
        <w:t>uspending enforcement on a site</w:t>
      </w:r>
    </w:p>
    <w:p w14:paraId="00C5A05C" w14:textId="7D68BAAA" w:rsidR="00A9314A" w:rsidRPr="00DD5C79" w:rsidRDefault="00111292" w:rsidP="00111292">
      <w:pPr>
        <w:pStyle w:val="ListParagraph"/>
      </w:pPr>
      <w:r>
        <w:t>r</w:t>
      </w:r>
      <w:r w:rsidR="00A9314A" w:rsidRPr="00DD5C79">
        <w:t xml:space="preserve">ecommencing enforcement action </w:t>
      </w:r>
    </w:p>
    <w:p w14:paraId="38A58B84" w14:textId="77777777" w:rsidR="00A9314A" w:rsidRDefault="00A9314A" w:rsidP="00111292">
      <w:r>
        <w:t xml:space="preserve">Following the rejection of an internal appeal, enforcement action shall not recommence until the deadline for the motorist to appeal to the </w:t>
      </w:r>
      <w:hyperlink r:id="rId15" w:history="1">
        <w:r w:rsidRPr="00111292">
          <w:rPr>
            <w:rStyle w:val="Hyperlink"/>
            <w:color w:val="auto"/>
          </w:rPr>
          <w:t>Independent Appeals Service</w:t>
        </w:r>
      </w:hyperlink>
      <w:r w:rsidRPr="00111292">
        <w:rPr>
          <w:color w:val="auto"/>
        </w:rPr>
        <w:t xml:space="preserve"> has </w:t>
      </w:r>
      <w:r>
        <w:t xml:space="preserve">lapsed. </w:t>
      </w:r>
    </w:p>
    <w:p w14:paraId="41E6133B" w14:textId="77777777" w:rsidR="00A9314A" w:rsidRDefault="00A9314A" w:rsidP="00111292">
      <w:r>
        <w:t xml:space="preserve">Following the dismissal of an appeal by the Independent Appeals Service, enforcement action shall not be restarted until 28 days post the decision being made, this includes the addition of any additional fees. </w:t>
      </w:r>
    </w:p>
    <w:p w14:paraId="03E23515" w14:textId="71A4FFD7" w:rsidR="00A9314A" w:rsidRDefault="00A9314A" w:rsidP="00111292">
      <w:r>
        <w:lastRenderedPageBreak/>
        <w:t xml:space="preserve">If a charge is paid this precludes the ability to appeal (if you don't allow an appeal following the payment of a </w:t>
      </w:r>
      <w:proofErr w:type="gramStart"/>
      <w:r>
        <w:t>charge</w:t>
      </w:r>
      <w:proofErr w:type="gramEnd"/>
      <w:r>
        <w:t xml:space="preserve"> then this needs to be stated).</w:t>
      </w:r>
    </w:p>
    <w:p w14:paraId="10ED08EC" w14:textId="0FF7282C" w:rsidR="005765DC" w:rsidRDefault="00BF1E72" w:rsidP="005765DC">
      <w:pPr>
        <w:rPr>
          <w:rFonts w:asciiTheme="majorHAnsi" w:hAnsiTheme="majorHAnsi"/>
          <w:sz w:val="32"/>
          <w:szCs w:val="32"/>
        </w:rPr>
      </w:pPr>
      <w:r w:rsidRPr="00BF1E72">
        <w:rPr>
          <w:rFonts w:asciiTheme="majorHAnsi" w:hAnsiTheme="majorHAnsi"/>
          <w:sz w:val="32"/>
          <w:szCs w:val="32"/>
        </w:rPr>
        <w:t xml:space="preserve">Document Control Panel </w:t>
      </w:r>
    </w:p>
    <w:tbl>
      <w:tblPr>
        <w:tblStyle w:val="TableGrid"/>
        <w:tblW w:w="0" w:type="auto"/>
        <w:tblLook w:val="04A0" w:firstRow="1" w:lastRow="0" w:firstColumn="1" w:lastColumn="0" w:noHBand="0" w:noVBand="1"/>
      </w:tblPr>
      <w:tblGrid>
        <w:gridCol w:w="3539"/>
        <w:gridCol w:w="7449"/>
      </w:tblGrid>
      <w:tr w:rsidR="000A5D48" w14:paraId="25F98AD1" w14:textId="77777777" w:rsidTr="000A5D48">
        <w:trPr>
          <w:cnfStyle w:val="100000000000" w:firstRow="1" w:lastRow="0" w:firstColumn="0" w:lastColumn="0" w:oddVBand="0" w:evenVBand="0" w:oddHBand="0" w:evenHBand="0" w:firstRowFirstColumn="0" w:firstRowLastColumn="0" w:lastRowFirstColumn="0" w:lastRowLastColumn="0"/>
        </w:trPr>
        <w:tc>
          <w:tcPr>
            <w:tcW w:w="3539" w:type="dxa"/>
          </w:tcPr>
          <w:p w14:paraId="5DD828D1" w14:textId="4276B3A4" w:rsidR="000A5D48" w:rsidRPr="00BF1E72" w:rsidRDefault="000A5D48" w:rsidP="00774E2D">
            <w:pPr>
              <w:rPr>
                <w:rFonts w:cs="Arial"/>
                <w:color w:val="CD202C" w:themeColor="accent1"/>
              </w:rPr>
            </w:pPr>
            <w:r w:rsidRPr="000A5D48">
              <w:rPr>
                <w:rFonts w:cs="Arial"/>
                <w:color w:val="FFFFFF" w:themeColor="background1"/>
              </w:rPr>
              <w:t>Field</w:t>
            </w:r>
          </w:p>
        </w:tc>
        <w:tc>
          <w:tcPr>
            <w:tcW w:w="7449" w:type="dxa"/>
          </w:tcPr>
          <w:p w14:paraId="48A2BB55" w14:textId="35337045" w:rsidR="000A5D48" w:rsidRPr="00DD1F71" w:rsidRDefault="000A5D48" w:rsidP="00774E2D">
            <w:pPr>
              <w:rPr>
                <w:rFonts w:cs="Arial"/>
                <w:color w:val="FFFFFF" w:themeColor="background1"/>
              </w:rPr>
            </w:pPr>
            <w:r>
              <w:rPr>
                <w:rFonts w:cs="Arial"/>
                <w:color w:val="FFFFFF" w:themeColor="background1"/>
              </w:rPr>
              <w:t>Description</w:t>
            </w:r>
          </w:p>
        </w:tc>
      </w:tr>
      <w:tr w:rsidR="00DD1F71" w14:paraId="47AAC91A" w14:textId="77777777" w:rsidTr="000A5D48">
        <w:tc>
          <w:tcPr>
            <w:tcW w:w="3539" w:type="dxa"/>
            <w:shd w:val="clear" w:color="auto" w:fill="D6D6D6" w:themeFill="accent3" w:themeFillTint="33"/>
          </w:tcPr>
          <w:p w14:paraId="5E2B88C3" w14:textId="77777777" w:rsidR="00BF1E72" w:rsidRPr="00111292" w:rsidRDefault="00BF1E72" w:rsidP="00774E2D">
            <w:pPr>
              <w:rPr>
                <w:rFonts w:asciiTheme="majorHAnsi" w:hAnsiTheme="majorHAnsi"/>
                <w:color w:val="auto"/>
              </w:rPr>
            </w:pPr>
            <w:r w:rsidRPr="00111292">
              <w:rPr>
                <w:rFonts w:asciiTheme="majorHAnsi" w:hAnsiTheme="majorHAnsi" w:cs="Arial"/>
                <w:color w:val="auto"/>
              </w:rPr>
              <w:t>Title</w:t>
            </w:r>
          </w:p>
        </w:tc>
        <w:tc>
          <w:tcPr>
            <w:tcW w:w="7449" w:type="dxa"/>
          </w:tcPr>
          <w:p w14:paraId="472A9534" w14:textId="0CDFB8E6" w:rsidR="00BF1E72" w:rsidRPr="00DD1F71" w:rsidRDefault="00111292" w:rsidP="00774E2D">
            <w:r>
              <w:t>Car Parking Appeal Policy</w:t>
            </w:r>
          </w:p>
        </w:tc>
      </w:tr>
      <w:tr w:rsidR="00BF1E72" w14:paraId="78884986" w14:textId="77777777" w:rsidTr="00DD1F71">
        <w:tc>
          <w:tcPr>
            <w:tcW w:w="3539" w:type="dxa"/>
            <w:shd w:val="clear" w:color="auto" w:fill="D6D6D6" w:themeFill="accent3" w:themeFillTint="33"/>
          </w:tcPr>
          <w:p w14:paraId="7DF1C2C8" w14:textId="77777777" w:rsidR="00BF1E72" w:rsidRPr="00111292" w:rsidRDefault="00BF1E72" w:rsidP="00774E2D">
            <w:pPr>
              <w:rPr>
                <w:rFonts w:asciiTheme="majorHAnsi" w:hAnsiTheme="majorHAnsi"/>
                <w:color w:val="auto"/>
              </w:rPr>
            </w:pPr>
            <w:r w:rsidRPr="00111292">
              <w:rPr>
                <w:rFonts w:asciiTheme="majorHAnsi" w:hAnsiTheme="majorHAnsi" w:cs="Arial"/>
                <w:color w:val="auto"/>
              </w:rPr>
              <w:t>Policy Classification</w:t>
            </w:r>
          </w:p>
        </w:tc>
        <w:tc>
          <w:tcPr>
            <w:tcW w:w="7449" w:type="dxa"/>
          </w:tcPr>
          <w:p w14:paraId="3ECA78C7" w14:textId="795113B7" w:rsidR="00BF1E72" w:rsidRDefault="00BF1E72" w:rsidP="00774E2D">
            <w:bookmarkStart w:id="12" w:name="_Hlk94448746"/>
            <w:r w:rsidRPr="00FA3867">
              <w:rPr>
                <w:rFonts w:ascii="Arial" w:hAnsi="Arial" w:cs="Arial"/>
              </w:rPr>
              <w:t>Polic</w:t>
            </w:r>
            <w:r w:rsidR="00111292">
              <w:rPr>
                <w:rFonts w:ascii="Arial" w:hAnsi="Arial" w:cs="Arial"/>
              </w:rPr>
              <w:t>y</w:t>
            </w:r>
            <w:bookmarkEnd w:id="12"/>
          </w:p>
        </w:tc>
      </w:tr>
      <w:tr w:rsidR="00BF1E72" w14:paraId="53936E9B" w14:textId="77777777" w:rsidTr="00DD1F71">
        <w:tc>
          <w:tcPr>
            <w:tcW w:w="3539" w:type="dxa"/>
            <w:shd w:val="clear" w:color="auto" w:fill="D6D6D6" w:themeFill="accent3" w:themeFillTint="33"/>
          </w:tcPr>
          <w:p w14:paraId="1F7994B7" w14:textId="77777777" w:rsidR="00BF1E72" w:rsidRPr="00111292" w:rsidRDefault="00BF1E72" w:rsidP="00774E2D">
            <w:pPr>
              <w:rPr>
                <w:rFonts w:asciiTheme="majorHAnsi" w:hAnsiTheme="majorHAnsi" w:cs="Arial"/>
                <w:color w:val="auto"/>
              </w:rPr>
            </w:pPr>
            <w:r w:rsidRPr="00111292">
              <w:rPr>
                <w:rFonts w:asciiTheme="majorHAnsi" w:hAnsiTheme="majorHAnsi" w:cs="Arial"/>
                <w:color w:val="auto"/>
              </w:rPr>
              <w:t>Security Classification</w:t>
            </w:r>
          </w:p>
        </w:tc>
        <w:tc>
          <w:tcPr>
            <w:tcW w:w="7449" w:type="dxa"/>
          </w:tcPr>
          <w:p w14:paraId="164AEDDA" w14:textId="07B44AA6" w:rsidR="00BF1E72" w:rsidRPr="00FA3867" w:rsidRDefault="00BF1E72" w:rsidP="00774E2D">
            <w:pPr>
              <w:rPr>
                <w:rFonts w:ascii="Arial" w:hAnsi="Arial" w:cs="Arial"/>
              </w:rPr>
            </w:pPr>
            <w:bookmarkStart w:id="13" w:name="_Hlk94448763"/>
            <w:r w:rsidRPr="00FA3867">
              <w:rPr>
                <w:rFonts w:ascii="Arial" w:hAnsi="Arial" w:cs="Arial"/>
              </w:rPr>
              <w:t>Open</w:t>
            </w:r>
            <w:bookmarkEnd w:id="13"/>
          </w:p>
        </w:tc>
      </w:tr>
      <w:tr w:rsidR="00BF1E72" w14:paraId="513F096D" w14:textId="77777777" w:rsidTr="00DD1F71">
        <w:tc>
          <w:tcPr>
            <w:tcW w:w="3539" w:type="dxa"/>
            <w:shd w:val="clear" w:color="auto" w:fill="D6D6D6" w:themeFill="accent3" w:themeFillTint="33"/>
          </w:tcPr>
          <w:p w14:paraId="5A0702CE" w14:textId="77777777" w:rsidR="00BF1E72" w:rsidRPr="005765DC" w:rsidRDefault="00BF1E72" w:rsidP="00774E2D">
            <w:pPr>
              <w:rPr>
                <w:rFonts w:asciiTheme="majorHAnsi" w:hAnsiTheme="majorHAnsi" w:cs="Arial"/>
                <w:color w:val="FF0000"/>
              </w:rPr>
            </w:pPr>
            <w:bookmarkStart w:id="14" w:name="_Hlk94449008"/>
            <w:r w:rsidRPr="005765DC">
              <w:rPr>
                <w:rFonts w:asciiTheme="majorHAnsi" w:hAnsiTheme="majorHAnsi" w:cs="Arial"/>
                <w:color w:val="auto"/>
              </w:rPr>
              <w:t>Security Rationale</w:t>
            </w:r>
          </w:p>
        </w:tc>
        <w:tc>
          <w:tcPr>
            <w:tcW w:w="7449" w:type="dxa"/>
          </w:tcPr>
          <w:p w14:paraId="5A037226" w14:textId="110AC0CF" w:rsidR="00111292" w:rsidRPr="00FA3867" w:rsidRDefault="00111292" w:rsidP="00774E2D">
            <w:pPr>
              <w:rPr>
                <w:rFonts w:ascii="Arial" w:hAnsi="Arial" w:cs="Arial"/>
              </w:rPr>
            </w:pPr>
            <w:r>
              <w:rPr>
                <w:rFonts w:ascii="Arial" w:hAnsi="Arial" w:cs="Arial"/>
              </w:rPr>
              <w:t>Not applicable</w:t>
            </w:r>
          </w:p>
        </w:tc>
      </w:tr>
      <w:bookmarkEnd w:id="14"/>
      <w:tr w:rsidR="00BF1E72" w14:paraId="3602A56E" w14:textId="77777777" w:rsidTr="00DD1F71">
        <w:tc>
          <w:tcPr>
            <w:tcW w:w="3539" w:type="dxa"/>
            <w:shd w:val="clear" w:color="auto" w:fill="D6D6D6" w:themeFill="accent3" w:themeFillTint="33"/>
          </w:tcPr>
          <w:p w14:paraId="7A596A78" w14:textId="77777777" w:rsidR="00BF1E72" w:rsidRPr="005765DC" w:rsidRDefault="00BF1E72" w:rsidP="00774E2D">
            <w:pPr>
              <w:rPr>
                <w:rFonts w:asciiTheme="majorHAnsi" w:hAnsiTheme="majorHAnsi" w:cs="Arial"/>
                <w:color w:val="FF0000"/>
              </w:rPr>
            </w:pPr>
            <w:r w:rsidRPr="00111292">
              <w:rPr>
                <w:rFonts w:asciiTheme="majorHAnsi" w:hAnsiTheme="majorHAnsi" w:cs="Arial"/>
                <w:color w:val="auto"/>
              </w:rPr>
              <w:t>Policy Manager Role</w:t>
            </w:r>
          </w:p>
        </w:tc>
        <w:tc>
          <w:tcPr>
            <w:tcW w:w="7449" w:type="dxa"/>
          </w:tcPr>
          <w:p w14:paraId="53566F8F" w14:textId="5E2B5DED" w:rsidR="00BF1E72" w:rsidRPr="00FA3867" w:rsidRDefault="00111292" w:rsidP="00774E2D">
            <w:pPr>
              <w:rPr>
                <w:rFonts w:ascii="Arial" w:hAnsi="Arial" w:cs="Arial"/>
              </w:rPr>
            </w:pPr>
            <w:r>
              <w:rPr>
                <w:rFonts w:ascii="Arial" w:hAnsi="Arial" w:cs="Arial"/>
              </w:rPr>
              <w:t>Travel &amp; Transport Officer</w:t>
            </w:r>
          </w:p>
        </w:tc>
      </w:tr>
      <w:tr w:rsidR="00BF1E72" w14:paraId="4DFA8E56" w14:textId="77777777" w:rsidTr="00DD1F71">
        <w:tc>
          <w:tcPr>
            <w:tcW w:w="3539" w:type="dxa"/>
            <w:shd w:val="clear" w:color="auto" w:fill="D6D6D6" w:themeFill="accent3" w:themeFillTint="33"/>
          </w:tcPr>
          <w:p w14:paraId="1E9136B1" w14:textId="77777777" w:rsidR="00BF1E72" w:rsidRPr="005765DC" w:rsidRDefault="00BF1E72" w:rsidP="00774E2D">
            <w:pPr>
              <w:rPr>
                <w:rFonts w:asciiTheme="majorHAnsi" w:hAnsiTheme="majorHAnsi" w:cs="Arial"/>
                <w:color w:val="FF0000"/>
              </w:rPr>
            </w:pPr>
            <w:r w:rsidRPr="005765DC">
              <w:rPr>
                <w:rFonts w:asciiTheme="majorHAnsi" w:hAnsiTheme="majorHAnsi" w:cs="Arial"/>
                <w:color w:val="auto"/>
              </w:rPr>
              <w:t>Nominated Contact</w:t>
            </w:r>
          </w:p>
        </w:tc>
        <w:tc>
          <w:tcPr>
            <w:tcW w:w="7449" w:type="dxa"/>
          </w:tcPr>
          <w:p w14:paraId="43EBF3F3" w14:textId="02A0E34F" w:rsidR="00BF1E72" w:rsidRPr="00FA3867" w:rsidRDefault="00111292" w:rsidP="00774E2D">
            <w:pPr>
              <w:rPr>
                <w:rFonts w:ascii="Arial" w:hAnsi="Arial" w:cs="Arial"/>
              </w:rPr>
            </w:pPr>
            <w:r w:rsidRPr="00111292">
              <w:rPr>
                <w:rFonts w:ascii="Arial" w:hAnsi="Arial" w:cs="Arial"/>
              </w:rPr>
              <w:t>ems-helpdesk@essex.ac.uk</w:t>
            </w:r>
          </w:p>
        </w:tc>
      </w:tr>
      <w:tr w:rsidR="00BF1E72" w14:paraId="384CDBE8" w14:textId="77777777" w:rsidTr="00DD1F71">
        <w:tc>
          <w:tcPr>
            <w:tcW w:w="3539" w:type="dxa"/>
            <w:shd w:val="clear" w:color="auto" w:fill="D6D6D6" w:themeFill="accent3" w:themeFillTint="33"/>
          </w:tcPr>
          <w:p w14:paraId="20336A03" w14:textId="77777777" w:rsidR="00BF1E72" w:rsidRPr="0075335F" w:rsidRDefault="00BF1E72" w:rsidP="00774E2D">
            <w:pPr>
              <w:rPr>
                <w:rFonts w:asciiTheme="majorHAnsi" w:hAnsiTheme="majorHAnsi" w:cs="Arial"/>
                <w:color w:val="CD202C" w:themeColor="accent1"/>
              </w:rPr>
            </w:pPr>
            <w:r w:rsidRPr="00111292">
              <w:rPr>
                <w:rFonts w:asciiTheme="majorHAnsi" w:hAnsiTheme="majorHAnsi" w:cs="Arial"/>
                <w:color w:val="auto"/>
              </w:rPr>
              <w:t>Responsible UoE Section</w:t>
            </w:r>
          </w:p>
        </w:tc>
        <w:tc>
          <w:tcPr>
            <w:tcW w:w="7449" w:type="dxa"/>
          </w:tcPr>
          <w:p w14:paraId="6F76B6B9" w14:textId="5E92C397" w:rsidR="00BF1E72" w:rsidRPr="00FA3867" w:rsidRDefault="00956209" w:rsidP="00774E2D">
            <w:pPr>
              <w:rPr>
                <w:rFonts w:ascii="Arial" w:hAnsi="Arial" w:cs="Arial"/>
              </w:rPr>
            </w:pPr>
            <w:r>
              <w:t>Estates &amp; Facilities Management</w:t>
            </w:r>
          </w:p>
        </w:tc>
      </w:tr>
      <w:tr w:rsidR="00BF1E72" w14:paraId="23ABAEDC" w14:textId="77777777" w:rsidTr="00DD1F71">
        <w:tc>
          <w:tcPr>
            <w:tcW w:w="3539" w:type="dxa"/>
            <w:shd w:val="clear" w:color="auto" w:fill="D6D6D6" w:themeFill="accent3" w:themeFillTint="33"/>
          </w:tcPr>
          <w:p w14:paraId="779D2121" w14:textId="77777777" w:rsidR="00BF1E72" w:rsidRPr="00E31E09" w:rsidRDefault="00BF1E72" w:rsidP="00774E2D">
            <w:pPr>
              <w:rPr>
                <w:rFonts w:asciiTheme="majorHAnsi" w:hAnsiTheme="majorHAnsi" w:cs="Arial"/>
                <w:color w:val="auto"/>
              </w:rPr>
            </w:pPr>
            <w:r w:rsidRPr="00E31E09">
              <w:rPr>
                <w:rFonts w:asciiTheme="majorHAnsi" w:hAnsiTheme="majorHAnsi" w:cs="Arial"/>
                <w:color w:val="auto"/>
              </w:rPr>
              <w:t>Approval Body</w:t>
            </w:r>
          </w:p>
        </w:tc>
        <w:tc>
          <w:tcPr>
            <w:tcW w:w="7449" w:type="dxa"/>
          </w:tcPr>
          <w:p w14:paraId="620CE4A0" w14:textId="1F8D3526" w:rsidR="00BF1E72" w:rsidRPr="00E31E09" w:rsidRDefault="00E31E09" w:rsidP="00774E2D">
            <w:pPr>
              <w:rPr>
                <w:rFonts w:ascii="Arial" w:hAnsi="Arial" w:cs="Arial"/>
                <w:color w:val="auto"/>
              </w:rPr>
            </w:pPr>
            <w:r w:rsidRPr="00E31E09">
              <w:rPr>
                <w:rFonts w:ascii="Arial" w:hAnsi="Arial" w:cs="Arial"/>
                <w:color w:val="auto"/>
              </w:rPr>
              <w:t>IPC – International Parking Community</w:t>
            </w:r>
            <w:r w:rsidR="00E655B6">
              <w:rPr>
                <w:rFonts w:ascii="Arial" w:hAnsi="Arial" w:cs="Arial"/>
                <w:color w:val="auto"/>
              </w:rPr>
              <w:t xml:space="preserve"> [External Body]</w:t>
            </w:r>
          </w:p>
        </w:tc>
      </w:tr>
      <w:tr w:rsidR="00BF1E72" w14:paraId="57C24E14" w14:textId="77777777" w:rsidTr="00DD1F71">
        <w:tc>
          <w:tcPr>
            <w:tcW w:w="3539" w:type="dxa"/>
            <w:shd w:val="clear" w:color="auto" w:fill="D6D6D6" w:themeFill="accent3" w:themeFillTint="33"/>
          </w:tcPr>
          <w:p w14:paraId="0C5FF482" w14:textId="77777777" w:rsidR="00BF1E72" w:rsidRPr="001B4401" w:rsidRDefault="00BF1E72" w:rsidP="00774E2D">
            <w:pPr>
              <w:rPr>
                <w:rFonts w:asciiTheme="majorHAnsi" w:hAnsiTheme="majorHAnsi" w:cs="Arial"/>
                <w:color w:val="auto"/>
              </w:rPr>
            </w:pPr>
            <w:r w:rsidRPr="001B4401">
              <w:rPr>
                <w:rFonts w:asciiTheme="majorHAnsi" w:hAnsiTheme="majorHAnsi" w:cs="Arial"/>
                <w:color w:val="auto"/>
              </w:rPr>
              <w:t>Signed Off Date</w:t>
            </w:r>
          </w:p>
        </w:tc>
        <w:tc>
          <w:tcPr>
            <w:tcW w:w="7449" w:type="dxa"/>
          </w:tcPr>
          <w:p w14:paraId="5833D6BF" w14:textId="321359DC" w:rsidR="00BF1E72" w:rsidRPr="001B4401" w:rsidRDefault="00111292" w:rsidP="00774E2D">
            <w:pPr>
              <w:rPr>
                <w:rFonts w:ascii="Arial" w:hAnsi="Arial" w:cs="Arial"/>
                <w:color w:val="auto"/>
              </w:rPr>
            </w:pPr>
            <w:bookmarkStart w:id="15" w:name="_Hlk94449080"/>
            <w:r w:rsidRPr="001B4401">
              <w:rPr>
                <w:rFonts w:ascii="Arial" w:hAnsi="Arial" w:cs="Arial"/>
                <w:color w:val="auto"/>
              </w:rPr>
              <w:t>2 April 2025</w:t>
            </w:r>
            <w:r w:rsidR="00BF1E72" w:rsidRPr="001B4401">
              <w:rPr>
                <w:rFonts w:ascii="Arial" w:hAnsi="Arial" w:cs="Arial"/>
                <w:color w:val="auto"/>
              </w:rPr>
              <w:t xml:space="preserve"> </w:t>
            </w:r>
            <w:bookmarkEnd w:id="15"/>
          </w:p>
        </w:tc>
      </w:tr>
      <w:tr w:rsidR="00BF1E72" w14:paraId="72D72D93" w14:textId="77777777" w:rsidTr="00DD1F71">
        <w:tc>
          <w:tcPr>
            <w:tcW w:w="3539" w:type="dxa"/>
            <w:shd w:val="clear" w:color="auto" w:fill="D6D6D6" w:themeFill="accent3" w:themeFillTint="33"/>
          </w:tcPr>
          <w:p w14:paraId="543A364C" w14:textId="77777777" w:rsidR="00BF1E72" w:rsidRPr="0075335F" w:rsidRDefault="00BF1E72" w:rsidP="00774E2D">
            <w:pPr>
              <w:rPr>
                <w:rFonts w:asciiTheme="majorHAnsi" w:hAnsiTheme="majorHAnsi" w:cs="Arial"/>
                <w:color w:val="CD202C" w:themeColor="accent1"/>
              </w:rPr>
            </w:pPr>
            <w:r w:rsidRPr="00111292">
              <w:rPr>
                <w:rFonts w:asciiTheme="majorHAnsi" w:hAnsiTheme="majorHAnsi" w:cs="Arial"/>
                <w:color w:val="auto"/>
              </w:rPr>
              <w:t>Publication Status</w:t>
            </w:r>
          </w:p>
        </w:tc>
        <w:tc>
          <w:tcPr>
            <w:tcW w:w="7449" w:type="dxa"/>
          </w:tcPr>
          <w:p w14:paraId="5841E410" w14:textId="6FFEE000" w:rsidR="00BF1E72" w:rsidRPr="00FA3867" w:rsidRDefault="00111292" w:rsidP="00774E2D">
            <w:pPr>
              <w:rPr>
                <w:rFonts w:ascii="Arial" w:hAnsi="Arial" w:cs="Arial"/>
              </w:rPr>
            </w:pPr>
            <w:r>
              <w:rPr>
                <w:rFonts w:ascii="Arial" w:hAnsi="Arial" w:cs="Arial"/>
              </w:rPr>
              <w:t>Published</w:t>
            </w:r>
          </w:p>
        </w:tc>
      </w:tr>
      <w:tr w:rsidR="00BF1E72" w14:paraId="17847C06" w14:textId="77777777" w:rsidTr="00DD1F71">
        <w:tc>
          <w:tcPr>
            <w:tcW w:w="3539" w:type="dxa"/>
            <w:shd w:val="clear" w:color="auto" w:fill="D6D6D6" w:themeFill="accent3" w:themeFillTint="33"/>
          </w:tcPr>
          <w:p w14:paraId="43FC5298" w14:textId="77777777" w:rsidR="00BF1E72" w:rsidRPr="0075335F" w:rsidRDefault="00BF1E72" w:rsidP="00774E2D">
            <w:pPr>
              <w:rPr>
                <w:rFonts w:asciiTheme="majorHAnsi" w:hAnsiTheme="majorHAnsi" w:cs="Arial"/>
                <w:color w:val="CD202C" w:themeColor="accent1"/>
              </w:rPr>
            </w:pPr>
            <w:r w:rsidRPr="00111292">
              <w:rPr>
                <w:rFonts w:asciiTheme="majorHAnsi" w:hAnsiTheme="majorHAnsi" w:cs="Arial"/>
                <w:color w:val="auto"/>
              </w:rPr>
              <w:t>Published Date</w:t>
            </w:r>
          </w:p>
        </w:tc>
        <w:tc>
          <w:tcPr>
            <w:tcW w:w="7449" w:type="dxa"/>
          </w:tcPr>
          <w:p w14:paraId="41F9642A" w14:textId="6E154F3F" w:rsidR="00BF1E72" w:rsidRPr="00FA3867" w:rsidRDefault="00111292" w:rsidP="00774E2D">
            <w:pPr>
              <w:rPr>
                <w:rFonts w:ascii="Arial" w:hAnsi="Arial" w:cs="Arial"/>
              </w:rPr>
            </w:pPr>
            <w:r>
              <w:rPr>
                <w:rFonts w:ascii="Arial" w:hAnsi="Arial" w:cs="Arial"/>
              </w:rPr>
              <w:t>27 September 2024</w:t>
            </w:r>
          </w:p>
        </w:tc>
      </w:tr>
      <w:tr w:rsidR="00BF1E72" w14:paraId="469A58FF" w14:textId="77777777" w:rsidTr="00DD1F71">
        <w:tc>
          <w:tcPr>
            <w:tcW w:w="3539" w:type="dxa"/>
            <w:shd w:val="clear" w:color="auto" w:fill="D6D6D6" w:themeFill="accent3" w:themeFillTint="33"/>
          </w:tcPr>
          <w:p w14:paraId="5096A0B6" w14:textId="77777777" w:rsidR="00BF1E72" w:rsidRPr="0075335F" w:rsidRDefault="00BF1E72" w:rsidP="00774E2D">
            <w:pPr>
              <w:rPr>
                <w:rFonts w:asciiTheme="majorHAnsi" w:hAnsiTheme="majorHAnsi" w:cs="Arial"/>
                <w:color w:val="CD202C" w:themeColor="accent1"/>
              </w:rPr>
            </w:pPr>
            <w:r w:rsidRPr="00E31E09">
              <w:rPr>
                <w:rFonts w:asciiTheme="majorHAnsi" w:hAnsiTheme="majorHAnsi" w:cs="Arial"/>
                <w:color w:val="auto"/>
              </w:rPr>
              <w:t>Last Review Date</w:t>
            </w:r>
          </w:p>
        </w:tc>
        <w:tc>
          <w:tcPr>
            <w:tcW w:w="7449" w:type="dxa"/>
          </w:tcPr>
          <w:p w14:paraId="3DA0383D" w14:textId="21E1C21D" w:rsidR="00BF1E72" w:rsidRPr="00FA3867" w:rsidRDefault="001B4401" w:rsidP="00774E2D">
            <w:pPr>
              <w:rPr>
                <w:rFonts w:ascii="Arial" w:hAnsi="Arial" w:cs="Arial"/>
              </w:rPr>
            </w:pPr>
            <w:bookmarkStart w:id="16" w:name="_Hlk94449144"/>
            <w:r>
              <w:rPr>
                <w:rFonts w:ascii="Arial" w:hAnsi="Arial" w:cs="Arial"/>
              </w:rPr>
              <w:t>27 September 2024</w:t>
            </w:r>
            <w:bookmarkEnd w:id="16"/>
          </w:p>
        </w:tc>
      </w:tr>
      <w:tr w:rsidR="00BF1E72" w14:paraId="304D71B6" w14:textId="77777777" w:rsidTr="00DD1F71">
        <w:tc>
          <w:tcPr>
            <w:tcW w:w="3539" w:type="dxa"/>
            <w:shd w:val="clear" w:color="auto" w:fill="D6D6D6" w:themeFill="accent3" w:themeFillTint="33"/>
          </w:tcPr>
          <w:p w14:paraId="2A550A80" w14:textId="77777777" w:rsidR="00BF1E72" w:rsidRPr="00111292" w:rsidRDefault="00BF1E72" w:rsidP="00774E2D">
            <w:pPr>
              <w:rPr>
                <w:rFonts w:asciiTheme="majorHAnsi" w:hAnsiTheme="majorHAnsi" w:cs="Arial"/>
                <w:color w:val="auto"/>
              </w:rPr>
            </w:pPr>
            <w:r w:rsidRPr="00111292">
              <w:rPr>
                <w:rFonts w:asciiTheme="majorHAnsi" w:hAnsiTheme="majorHAnsi" w:cs="Arial"/>
                <w:color w:val="auto"/>
              </w:rPr>
              <w:t>Minimum Review Frequency</w:t>
            </w:r>
          </w:p>
        </w:tc>
        <w:tc>
          <w:tcPr>
            <w:tcW w:w="7449" w:type="dxa"/>
          </w:tcPr>
          <w:p w14:paraId="1B809E81" w14:textId="58FCAC01" w:rsidR="00BF1E72" w:rsidRPr="00FA3867" w:rsidRDefault="00BF1E72" w:rsidP="00774E2D">
            <w:pPr>
              <w:rPr>
                <w:rFonts w:ascii="Arial" w:hAnsi="Arial" w:cs="Arial"/>
              </w:rPr>
            </w:pPr>
            <w:bookmarkStart w:id="17" w:name="_Hlk94449169"/>
            <w:r w:rsidRPr="00FA3867">
              <w:rPr>
                <w:rFonts w:ascii="Arial" w:hAnsi="Arial" w:cs="Arial"/>
              </w:rPr>
              <w:t>Annually</w:t>
            </w:r>
            <w:bookmarkEnd w:id="17"/>
          </w:p>
        </w:tc>
      </w:tr>
      <w:tr w:rsidR="00BF1E72" w14:paraId="6003746C" w14:textId="77777777" w:rsidTr="00DD1F71">
        <w:tc>
          <w:tcPr>
            <w:tcW w:w="3539" w:type="dxa"/>
            <w:shd w:val="clear" w:color="auto" w:fill="D6D6D6" w:themeFill="accent3" w:themeFillTint="33"/>
          </w:tcPr>
          <w:p w14:paraId="26102B76" w14:textId="77777777" w:rsidR="00BF1E72" w:rsidRPr="00111292" w:rsidRDefault="00BF1E72" w:rsidP="00774E2D">
            <w:pPr>
              <w:rPr>
                <w:rFonts w:asciiTheme="majorHAnsi" w:hAnsiTheme="majorHAnsi" w:cs="Arial"/>
                <w:color w:val="auto"/>
              </w:rPr>
            </w:pPr>
            <w:r w:rsidRPr="00111292">
              <w:rPr>
                <w:rFonts w:asciiTheme="majorHAnsi" w:hAnsiTheme="majorHAnsi" w:cs="Arial"/>
                <w:color w:val="auto"/>
              </w:rPr>
              <w:t>Review Date</w:t>
            </w:r>
          </w:p>
        </w:tc>
        <w:tc>
          <w:tcPr>
            <w:tcW w:w="7449" w:type="dxa"/>
          </w:tcPr>
          <w:p w14:paraId="55600743" w14:textId="1C4FABD8" w:rsidR="00BF1E72" w:rsidRPr="00FA3867" w:rsidRDefault="00111292" w:rsidP="00774E2D">
            <w:pPr>
              <w:rPr>
                <w:rFonts w:ascii="Arial" w:hAnsi="Arial" w:cs="Arial"/>
              </w:rPr>
            </w:pPr>
            <w:r>
              <w:rPr>
                <w:rFonts w:ascii="Arial" w:hAnsi="Arial" w:cs="Arial"/>
              </w:rPr>
              <w:t>September 2025</w:t>
            </w:r>
          </w:p>
        </w:tc>
      </w:tr>
      <w:tr w:rsidR="00BF1E72" w14:paraId="16E245C5" w14:textId="77777777" w:rsidTr="00DD1F71">
        <w:tc>
          <w:tcPr>
            <w:tcW w:w="3539" w:type="dxa"/>
            <w:shd w:val="clear" w:color="auto" w:fill="D6D6D6" w:themeFill="accent3" w:themeFillTint="33"/>
          </w:tcPr>
          <w:p w14:paraId="7F964054" w14:textId="77777777" w:rsidR="00BF1E72" w:rsidRPr="00111292" w:rsidRDefault="00BF1E72" w:rsidP="00774E2D">
            <w:pPr>
              <w:rPr>
                <w:rFonts w:asciiTheme="majorHAnsi" w:hAnsiTheme="majorHAnsi" w:cs="Arial"/>
                <w:color w:val="auto"/>
              </w:rPr>
            </w:pPr>
            <w:r w:rsidRPr="00111292">
              <w:rPr>
                <w:rFonts w:asciiTheme="majorHAnsi" w:hAnsiTheme="majorHAnsi" w:cs="Arial"/>
                <w:color w:val="auto"/>
              </w:rPr>
              <w:t>UoE Identifier</w:t>
            </w:r>
          </w:p>
        </w:tc>
        <w:tc>
          <w:tcPr>
            <w:tcW w:w="7449" w:type="dxa"/>
          </w:tcPr>
          <w:p w14:paraId="422EC256" w14:textId="62328E91" w:rsidR="00BF1E72" w:rsidRPr="00FA3867" w:rsidRDefault="00111292" w:rsidP="00774E2D">
            <w:pPr>
              <w:rPr>
                <w:rFonts w:ascii="Arial" w:hAnsi="Arial" w:cs="Arial"/>
              </w:rPr>
            </w:pPr>
            <w:r>
              <w:rPr>
                <w:rFonts w:ascii="Arial" w:hAnsi="Arial" w:cs="Arial"/>
                <w:color w:val="auto"/>
              </w:rPr>
              <w:t>0232</w:t>
            </w:r>
          </w:p>
        </w:tc>
      </w:tr>
    </w:tbl>
    <w:p w14:paraId="019B58F5" w14:textId="77777777" w:rsidR="00BF1E72" w:rsidRPr="003D65EA" w:rsidRDefault="00BF1E72" w:rsidP="00BF1E72"/>
    <w:p w14:paraId="3FB05FEF" w14:textId="208CA9D3" w:rsidR="00BF1E72" w:rsidRPr="001E6CC9" w:rsidRDefault="00BF1E72" w:rsidP="00BF1E72">
      <w:r w:rsidRPr="00FA3867">
        <w:t xml:space="preserve">If you require this document in an alternative format, such as braille, please contact </w:t>
      </w:r>
      <w:r>
        <w:t xml:space="preserve">the nominated contact at </w:t>
      </w:r>
      <w:hyperlink r:id="rId16" w:history="1">
        <w:r w:rsidR="00111292" w:rsidRPr="00111292">
          <w:rPr>
            <w:rStyle w:val="Hyperlink"/>
            <w:color w:val="auto"/>
          </w:rPr>
          <w:t>ems-helpdesk@essex.ac.uk</w:t>
        </w:r>
      </w:hyperlink>
      <w:r w:rsidR="00DC19B2">
        <w:rPr>
          <w:rStyle w:val="Hyperlink"/>
          <w:color w:val="auto"/>
        </w:rPr>
        <w:t>.</w:t>
      </w:r>
    </w:p>
    <w:p w14:paraId="6C5D1EC0" w14:textId="77777777" w:rsidR="00BF1E72" w:rsidRPr="001E6CC9" w:rsidRDefault="00BF1E72" w:rsidP="005765DC"/>
    <w:sectPr w:rsidR="00BF1E72" w:rsidRPr="001E6CC9" w:rsidSect="000A5D48">
      <w:pgSz w:w="11906" w:h="16838"/>
      <w:pgMar w:top="680" w:right="454" w:bottom="816" w:left="454" w:header="709" w:footer="142"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C546" w14:textId="77777777" w:rsidR="00343B17" w:rsidRDefault="00343B17" w:rsidP="0040118A">
      <w:pPr>
        <w:spacing w:line="240" w:lineRule="auto"/>
      </w:pPr>
      <w:r>
        <w:separator/>
      </w:r>
    </w:p>
    <w:p w14:paraId="62BDDA8E" w14:textId="77777777" w:rsidR="00343B17" w:rsidRDefault="00343B17"/>
  </w:endnote>
  <w:endnote w:type="continuationSeparator" w:id="0">
    <w:p w14:paraId="61902A0E" w14:textId="77777777" w:rsidR="00343B17" w:rsidRDefault="00343B17" w:rsidP="0040118A">
      <w:pPr>
        <w:spacing w:line="240" w:lineRule="auto"/>
      </w:pPr>
      <w:r>
        <w:continuationSeparator/>
      </w:r>
    </w:p>
    <w:p w14:paraId="72AA57D7" w14:textId="77777777" w:rsidR="00343B17" w:rsidRDefault="00343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491D4C55" w14:textId="77777777" w:rsidR="001B0DE8" w:rsidRPr="001B0DE8" w:rsidRDefault="001B0DE8" w:rsidP="00E40546">
        <w:pPr>
          <w:pStyle w:val="Footer"/>
          <w:framePr w:h="305" w:hRule="exact" w:wrap="none" w:vAnchor="text" w:hAnchor="page" w:x="10081" w:y="-3"/>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04063040" w14:textId="08AC09E0"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42BDA281" wp14:editId="000FFBBE">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72BCE"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956209">
          <w:rPr>
            <w:rFonts w:cs="Times New Roman (Body CS)"/>
            <w:color w:val="FFFFFF" w:themeColor="background1"/>
          </w:rPr>
          <w:t>University of Essex Car Parking Appeal Policy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1B76" w14:textId="77777777" w:rsidR="00343B17" w:rsidRDefault="00343B17" w:rsidP="0040118A">
      <w:pPr>
        <w:spacing w:line="240" w:lineRule="auto"/>
      </w:pPr>
      <w:r>
        <w:separator/>
      </w:r>
    </w:p>
    <w:p w14:paraId="462050BD" w14:textId="77777777" w:rsidR="00343B17" w:rsidRDefault="00343B17"/>
  </w:footnote>
  <w:footnote w:type="continuationSeparator" w:id="0">
    <w:p w14:paraId="2F709328" w14:textId="77777777" w:rsidR="00343B17" w:rsidRDefault="00343B17" w:rsidP="0040118A">
      <w:pPr>
        <w:spacing w:line="240" w:lineRule="auto"/>
      </w:pPr>
      <w:r>
        <w:continuationSeparator/>
      </w:r>
    </w:p>
    <w:p w14:paraId="0CCA3748" w14:textId="77777777" w:rsidR="00343B17" w:rsidRDefault="00343B17"/>
  </w:footnote>
  <w:footnote w:id="1">
    <w:p w14:paraId="53E184B7" w14:textId="7A040C3F" w:rsidR="00DC19B2" w:rsidRDefault="00DC19B2" w:rsidP="00DC19B2">
      <w:r>
        <w:rPr>
          <w:rStyle w:val="FootnoteReference"/>
        </w:rPr>
        <w:footnoteRef/>
      </w:r>
      <w:r>
        <w:t xml:space="preserve"> </w:t>
      </w:r>
      <w:r w:rsidRPr="00925DC3">
        <w:t>Where accidental keying errors are found the parking charge should be cancelled if it is the first occasion.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6AF13FE"/>
    <w:multiLevelType w:val="hybridMultilevel"/>
    <w:tmpl w:val="E8E2E3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65600E"/>
    <w:multiLevelType w:val="multilevel"/>
    <w:tmpl w:val="C23C2942"/>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55AE4AAE"/>
    <w:lvl w:ilvl="0">
      <w:start w:val="1"/>
      <w:numFmt w:val="lowerLetter"/>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E6E6B"/>
    <w:multiLevelType w:val="multilevel"/>
    <w:tmpl w:val="B5E0FD38"/>
    <w:lvl w:ilvl="0">
      <w:start w:val="1"/>
      <w:numFmt w:val="decimal"/>
      <w:lvlText w:val="%1."/>
      <w:lvlJc w:val="left"/>
      <w:pPr>
        <w:ind w:left="360" w:hanging="360"/>
      </w:pPr>
      <w:rPr>
        <w:rFonts w:hint="default"/>
      </w:rPr>
    </w:lvl>
    <w:lvl w:ilvl="1">
      <w:start w:val="1"/>
      <w:numFmt w:val="decimal"/>
      <w:isLgl/>
      <w:lvlText w:val="%1.%2"/>
      <w:lvlJc w:val="left"/>
      <w:pPr>
        <w:ind w:left="469" w:hanging="403"/>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3" w15:restartNumberingAfterBreak="0">
    <w:nsid w:val="3D907D1D"/>
    <w:multiLevelType w:val="multilevel"/>
    <w:tmpl w:val="294A3F8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8E017B6"/>
    <w:multiLevelType w:val="multilevel"/>
    <w:tmpl w:val="62688836"/>
    <w:lvl w:ilvl="0">
      <w:start w:val="1"/>
      <w:numFmt w:val="bullet"/>
      <w:lvlText w:val=""/>
      <w:lvlJc w:val="left"/>
      <w:pPr>
        <w:ind w:left="360" w:hanging="360"/>
      </w:pPr>
      <w:rPr>
        <w:rFonts w:ascii="Symbol" w:hAnsi="Symbol"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num w:numId="1" w16cid:durableId="1804880415">
    <w:abstractNumId w:val="0"/>
  </w:num>
  <w:num w:numId="2" w16cid:durableId="1633634168">
    <w:abstractNumId w:val="4"/>
  </w:num>
  <w:num w:numId="3" w16cid:durableId="562450926">
    <w:abstractNumId w:val="9"/>
  </w:num>
  <w:num w:numId="4" w16cid:durableId="248973232">
    <w:abstractNumId w:val="5"/>
  </w:num>
  <w:num w:numId="5" w16cid:durableId="648021041">
    <w:abstractNumId w:val="7"/>
  </w:num>
  <w:num w:numId="6" w16cid:durableId="1887328309">
    <w:abstractNumId w:val="1"/>
  </w:num>
  <w:num w:numId="7" w16cid:durableId="1542861495">
    <w:abstractNumId w:val="2"/>
  </w:num>
  <w:num w:numId="8" w16cid:durableId="1641230535">
    <w:abstractNumId w:val="3"/>
  </w:num>
  <w:num w:numId="9" w16cid:durableId="1527403963">
    <w:abstractNumId w:val="10"/>
  </w:num>
  <w:num w:numId="10" w16cid:durableId="1284774420">
    <w:abstractNumId w:val="11"/>
  </w:num>
  <w:num w:numId="11" w16cid:durableId="805702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45456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5097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063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91520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5061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2526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461902">
    <w:abstractNumId w:val="6"/>
  </w:num>
  <w:num w:numId="19" w16cid:durableId="737675242">
    <w:abstractNumId w:val="12"/>
  </w:num>
  <w:num w:numId="20" w16cid:durableId="1208837928">
    <w:abstractNumId w:val="14"/>
  </w:num>
  <w:num w:numId="21" w16cid:durableId="937638032">
    <w:abstractNumId w:val="8"/>
  </w:num>
  <w:num w:numId="22" w16cid:durableId="44029870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CB"/>
    <w:rsid w:val="000037DB"/>
    <w:rsid w:val="0001561C"/>
    <w:rsid w:val="00020F80"/>
    <w:rsid w:val="0002549D"/>
    <w:rsid w:val="00026387"/>
    <w:rsid w:val="00034E4B"/>
    <w:rsid w:val="000502F5"/>
    <w:rsid w:val="00051F2E"/>
    <w:rsid w:val="000569E2"/>
    <w:rsid w:val="00057AC2"/>
    <w:rsid w:val="00065605"/>
    <w:rsid w:val="00070992"/>
    <w:rsid w:val="00093141"/>
    <w:rsid w:val="00096EAB"/>
    <w:rsid w:val="000A5D48"/>
    <w:rsid w:val="000B06EB"/>
    <w:rsid w:val="000C401F"/>
    <w:rsid w:val="000C6A83"/>
    <w:rsid w:val="000D1F39"/>
    <w:rsid w:val="000D2389"/>
    <w:rsid w:val="000D56F5"/>
    <w:rsid w:val="000E5294"/>
    <w:rsid w:val="000F45BC"/>
    <w:rsid w:val="00110C21"/>
    <w:rsid w:val="00111292"/>
    <w:rsid w:val="00117538"/>
    <w:rsid w:val="00125E03"/>
    <w:rsid w:val="00130CBD"/>
    <w:rsid w:val="001408C7"/>
    <w:rsid w:val="00145263"/>
    <w:rsid w:val="001504F3"/>
    <w:rsid w:val="00155CD0"/>
    <w:rsid w:val="00156490"/>
    <w:rsid w:val="00165B99"/>
    <w:rsid w:val="00185DD1"/>
    <w:rsid w:val="001B0DE8"/>
    <w:rsid w:val="001B0F43"/>
    <w:rsid w:val="001B4401"/>
    <w:rsid w:val="001B7338"/>
    <w:rsid w:val="001C3C89"/>
    <w:rsid w:val="001C53CC"/>
    <w:rsid w:val="001D415A"/>
    <w:rsid w:val="001D6445"/>
    <w:rsid w:val="001E3EEC"/>
    <w:rsid w:val="001E5799"/>
    <w:rsid w:val="001E6CC9"/>
    <w:rsid w:val="001F0DF8"/>
    <w:rsid w:val="001F64DC"/>
    <w:rsid w:val="00210E2B"/>
    <w:rsid w:val="00211290"/>
    <w:rsid w:val="002122AA"/>
    <w:rsid w:val="0021288B"/>
    <w:rsid w:val="002141B9"/>
    <w:rsid w:val="002161E2"/>
    <w:rsid w:val="002257D4"/>
    <w:rsid w:val="0023662E"/>
    <w:rsid w:val="00236A02"/>
    <w:rsid w:val="00261342"/>
    <w:rsid w:val="00265DB5"/>
    <w:rsid w:val="002743A6"/>
    <w:rsid w:val="0028184E"/>
    <w:rsid w:val="00282B1D"/>
    <w:rsid w:val="00291F97"/>
    <w:rsid w:val="002A4331"/>
    <w:rsid w:val="002C47E1"/>
    <w:rsid w:val="002C70E0"/>
    <w:rsid w:val="002D0E4C"/>
    <w:rsid w:val="002D574E"/>
    <w:rsid w:val="002E7D9C"/>
    <w:rsid w:val="002F263E"/>
    <w:rsid w:val="002F67D3"/>
    <w:rsid w:val="002F7263"/>
    <w:rsid w:val="00310DEC"/>
    <w:rsid w:val="0031323D"/>
    <w:rsid w:val="00321159"/>
    <w:rsid w:val="003239A1"/>
    <w:rsid w:val="00327211"/>
    <w:rsid w:val="00343B17"/>
    <w:rsid w:val="00347A87"/>
    <w:rsid w:val="00362108"/>
    <w:rsid w:val="00370C74"/>
    <w:rsid w:val="00390601"/>
    <w:rsid w:val="003957F8"/>
    <w:rsid w:val="00395C04"/>
    <w:rsid w:val="003966CC"/>
    <w:rsid w:val="003A593C"/>
    <w:rsid w:val="003A7CA0"/>
    <w:rsid w:val="003C121C"/>
    <w:rsid w:val="003C2013"/>
    <w:rsid w:val="003C4629"/>
    <w:rsid w:val="003D1800"/>
    <w:rsid w:val="003D640B"/>
    <w:rsid w:val="003D65EA"/>
    <w:rsid w:val="003F6439"/>
    <w:rsid w:val="0040118A"/>
    <w:rsid w:val="004124F3"/>
    <w:rsid w:val="0042104A"/>
    <w:rsid w:val="00422651"/>
    <w:rsid w:val="00425F8C"/>
    <w:rsid w:val="004333DD"/>
    <w:rsid w:val="00440365"/>
    <w:rsid w:val="00446422"/>
    <w:rsid w:val="00447863"/>
    <w:rsid w:val="00454099"/>
    <w:rsid w:val="00467D36"/>
    <w:rsid w:val="00485574"/>
    <w:rsid w:val="004865D7"/>
    <w:rsid w:val="0049059B"/>
    <w:rsid w:val="0049393C"/>
    <w:rsid w:val="004B0164"/>
    <w:rsid w:val="004B48D9"/>
    <w:rsid w:val="004B7DAC"/>
    <w:rsid w:val="004C6604"/>
    <w:rsid w:val="004D0E40"/>
    <w:rsid w:val="004D3AAA"/>
    <w:rsid w:val="004D7260"/>
    <w:rsid w:val="004F4034"/>
    <w:rsid w:val="00506518"/>
    <w:rsid w:val="005121E1"/>
    <w:rsid w:val="00520020"/>
    <w:rsid w:val="00522148"/>
    <w:rsid w:val="0052409A"/>
    <w:rsid w:val="00526C53"/>
    <w:rsid w:val="00534CED"/>
    <w:rsid w:val="0054030A"/>
    <w:rsid w:val="0054156D"/>
    <w:rsid w:val="00544991"/>
    <w:rsid w:val="00545AAD"/>
    <w:rsid w:val="0054737B"/>
    <w:rsid w:val="005607AE"/>
    <w:rsid w:val="00564042"/>
    <w:rsid w:val="00566E79"/>
    <w:rsid w:val="005765DC"/>
    <w:rsid w:val="00582129"/>
    <w:rsid w:val="005858A2"/>
    <w:rsid w:val="00595C57"/>
    <w:rsid w:val="005A5F71"/>
    <w:rsid w:val="005A7CF2"/>
    <w:rsid w:val="005B42C6"/>
    <w:rsid w:val="005C377C"/>
    <w:rsid w:val="006023F0"/>
    <w:rsid w:val="00607E4B"/>
    <w:rsid w:val="00610A40"/>
    <w:rsid w:val="00613E85"/>
    <w:rsid w:val="00623248"/>
    <w:rsid w:val="00627271"/>
    <w:rsid w:val="0062736C"/>
    <w:rsid w:val="00635687"/>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E0857"/>
    <w:rsid w:val="006F03DB"/>
    <w:rsid w:val="006F2788"/>
    <w:rsid w:val="006F41D5"/>
    <w:rsid w:val="006F7417"/>
    <w:rsid w:val="00702552"/>
    <w:rsid w:val="0070267E"/>
    <w:rsid w:val="00720556"/>
    <w:rsid w:val="007336AD"/>
    <w:rsid w:val="007356A4"/>
    <w:rsid w:val="00740776"/>
    <w:rsid w:val="007458F3"/>
    <w:rsid w:val="0075335F"/>
    <w:rsid w:val="007564FB"/>
    <w:rsid w:val="00767B05"/>
    <w:rsid w:val="00773A32"/>
    <w:rsid w:val="00782551"/>
    <w:rsid w:val="00792021"/>
    <w:rsid w:val="00793525"/>
    <w:rsid w:val="007B5669"/>
    <w:rsid w:val="007C08B9"/>
    <w:rsid w:val="007C30D6"/>
    <w:rsid w:val="007C3862"/>
    <w:rsid w:val="007C753C"/>
    <w:rsid w:val="007C7E98"/>
    <w:rsid w:val="007D0B60"/>
    <w:rsid w:val="007D294F"/>
    <w:rsid w:val="007D7033"/>
    <w:rsid w:val="007F02F0"/>
    <w:rsid w:val="007F34C5"/>
    <w:rsid w:val="008156B0"/>
    <w:rsid w:val="008269C4"/>
    <w:rsid w:val="008272FB"/>
    <w:rsid w:val="008301C8"/>
    <w:rsid w:val="0084639D"/>
    <w:rsid w:val="00852E29"/>
    <w:rsid w:val="0085519E"/>
    <w:rsid w:val="00860862"/>
    <w:rsid w:val="00863A02"/>
    <w:rsid w:val="00871C60"/>
    <w:rsid w:val="00873700"/>
    <w:rsid w:val="008920C0"/>
    <w:rsid w:val="008A3C33"/>
    <w:rsid w:val="008C5C93"/>
    <w:rsid w:val="008D0DAA"/>
    <w:rsid w:val="008E7712"/>
    <w:rsid w:val="008F7058"/>
    <w:rsid w:val="009005BC"/>
    <w:rsid w:val="00905A53"/>
    <w:rsid w:val="0091187C"/>
    <w:rsid w:val="00911B6D"/>
    <w:rsid w:val="00915A28"/>
    <w:rsid w:val="00936CE0"/>
    <w:rsid w:val="00946C0F"/>
    <w:rsid w:val="00950845"/>
    <w:rsid w:val="00956209"/>
    <w:rsid w:val="00970956"/>
    <w:rsid w:val="00980454"/>
    <w:rsid w:val="0099645A"/>
    <w:rsid w:val="009A1B2C"/>
    <w:rsid w:val="009B38EC"/>
    <w:rsid w:val="009C6F49"/>
    <w:rsid w:val="009D2E43"/>
    <w:rsid w:val="009D4904"/>
    <w:rsid w:val="009D51BA"/>
    <w:rsid w:val="009D6BFF"/>
    <w:rsid w:val="009E3A2B"/>
    <w:rsid w:val="00A0235F"/>
    <w:rsid w:val="00A0682B"/>
    <w:rsid w:val="00A24601"/>
    <w:rsid w:val="00A2698B"/>
    <w:rsid w:val="00A357E2"/>
    <w:rsid w:val="00A406A0"/>
    <w:rsid w:val="00A429D5"/>
    <w:rsid w:val="00A476C9"/>
    <w:rsid w:val="00A5361C"/>
    <w:rsid w:val="00A72AF3"/>
    <w:rsid w:val="00A75123"/>
    <w:rsid w:val="00A76766"/>
    <w:rsid w:val="00A820BD"/>
    <w:rsid w:val="00A92782"/>
    <w:rsid w:val="00A9314A"/>
    <w:rsid w:val="00A95B46"/>
    <w:rsid w:val="00AB21B1"/>
    <w:rsid w:val="00AB2963"/>
    <w:rsid w:val="00AD1FBE"/>
    <w:rsid w:val="00AE05EE"/>
    <w:rsid w:val="00AF29FF"/>
    <w:rsid w:val="00B11C45"/>
    <w:rsid w:val="00B2201A"/>
    <w:rsid w:val="00B36AAB"/>
    <w:rsid w:val="00B37472"/>
    <w:rsid w:val="00B5488F"/>
    <w:rsid w:val="00B615E3"/>
    <w:rsid w:val="00B667E0"/>
    <w:rsid w:val="00B8057C"/>
    <w:rsid w:val="00B846CB"/>
    <w:rsid w:val="00B9605F"/>
    <w:rsid w:val="00B96204"/>
    <w:rsid w:val="00B97201"/>
    <w:rsid w:val="00BB733C"/>
    <w:rsid w:val="00BD6BA2"/>
    <w:rsid w:val="00BF1E72"/>
    <w:rsid w:val="00C00506"/>
    <w:rsid w:val="00C17F8A"/>
    <w:rsid w:val="00C34D34"/>
    <w:rsid w:val="00C34F6C"/>
    <w:rsid w:val="00C361B8"/>
    <w:rsid w:val="00C45BE5"/>
    <w:rsid w:val="00C51C9F"/>
    <w:rsid w:val="00C6028B"/>
    <w:rsid w:val="00C638BF"/>
    <w:rsid w:val="00C726F0"/>
    <w:rsid w:val="00C82D9D"/>
    <w:rsid w:val="00CA4FCF"/>
    <w:rsid w:val="00CB6228"/>
    <w:rsid w:val="00CD3F80"/>
    <w:rsid w:val="00CE0D86"/>
    <w:rsid w:val="00D048ED"/>
    <w:rsid w:val="00D1489B"/>
    <w:rsid w:val="00D52D5F"/>
    <w:rsid w:val="00D63BC2"/>
    <w:rsid w:val="00D75974"/>
    <w:rsid w:val="00D77B75"/>
    <w:rsid w:val="00D86FD4"/>
    <w:rsid w:val="00D94804"/>
    <w:rsid w:val="00D96FE5"/>
    <w:rsid w:val="00D97D73"/>
    <w:rsid w:val="00DB079A"/>
    <w:rsid w:val="00DC19B2"/>
    <w:rsid w:val="00DC3829"/>
    <w:rsid w:val="00DD1F71"/>
    <w:rsid w:val="00DE1444"/>
    <w:rsid w:val="00E02037"/>
    <w:rsid w:val="00E02F0B"/>
    <w:rsid w:val="00E04E5F"/>
    <w:rsid w:val="00E05033"/>
    <w:rsid w:val="00E06C31"/>
    <w:rsid w:val="00E23B99"/>
    <w:rsid w:val="00E2600B"/>
    <w:rsid w:val="00E31D9F"/>
    <w:rsid w:val="00E31E09"/>
    <w:rsid w:val="00E32451"/>
    <w:rsid w:val="00E40155"/>
    <w:rsid w:val="00E40546"/>
    <w:rsid w:val="00E41AAC"/>
    <w:rsid w:val="00E41E1E"/>
    <w:rsid w:val="00E47C32"/>
    <w:rsid w:val="00E5227E"/>
    <w:rsid w:val="00E64826"/>
    <w:rsid w:val="00E655B6"/>
    <w:rsid w:val="00E67A53"/>
    <w:rsid w:val="00E87E82"/>
    <w:rsid w:val="00EA00F0"/>
    <w:rsid w:val="00EA58A7"/>
    <w:rsid w:val="00ED064D"/>
    <w:rsid w:val="00ED0D64"/>
    <w:rsid w:val="00ED1065"/>
    <w:rsid w:val="00ED19A3"/>
    <w:rsid w:val="00EE48D0"/>
    <w:rsid w:val="00F11389"/>
    <w:rsid w:val="00F161A4"/>
    <w:rsid w:val="00F21934"/>
    <w:rsid w:val="00F33DC6"/>
    <w:rsid w:val="00F46DA1"/>
    <w:rsid w:val="00F47B07"/>
    <w:rsid w:val="00F47BD3"/>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BFD"/>
    <w:rsid w:val="00FC2399"/>
    <w:rsid w:val="00FC241D"/>
    <w:rsid w:val="00FD04D9"/>
    <w:rsid w:val="00FD08CA"/>
    <w:rsid w:val="00FD1937"/>
    <w:rsid w:val="00FD4B64"/>
    <w:rsid w:val="00FD50ED"/>
    <w:rsid w:val="00FD5966"/>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EB71F"/>
  <w15:chartTrackingRefBased/>
  <w15:docId w15:val="{CDCBD246-B24A-46F8-8027-EDF3FC32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A406A0"/>
    <w:pPr>
      <w:spacing w:before="8700" w:beforeAutospacing="0" w:after="280"/>
      <w:ind w:left="680"/>
    </w:pPr>
    <w:rPr>
      <w:sz w:val="56"/>
    </w:rPr>
  </w:style>
  <w:style w:type="character" w:customStyle="1" w:styleId="TitleChar">
    <w:name w:val="Title Char"/>
    <w:basedOn w:val="DefaultParagraphFont"/>
    <w:link w:val="Title"/>
    <w:uiPriority w:val="10"/>
    <w:rsid w:val="00A406A0"/>
    <w:rPr>
      <w:rFonts w:asciiTheme="majorHAnsi" w:eastAsia="Times New Roman" w:hAnsiTheme="majorHAnsi" w:cs="Times New Roman"/>
      <w:b/>
      <w:bCs/>
      <w:color w:val="FFFFFF" w:themeColor="background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7C08B9"/>
    <w:pPr>
      <w:spacing w:before="200" w:after="160"/>
    </w:pPr>
    <w:rPr>
      <w:iCs/>
      <w:color w:val="612467" w:themeColor="accent2"/>
      <w:sz w:val="28"/>
    </w:rPr>
  </w:style>
  <w:style w:type="character" w:customStyle="1" w:styleId="QuoteChar">
    <w:name w:val="Quote Char"/>
    <w:aliases w:val="Introduction / Quote Char"/>
    <w:basedOn w:val="DefaultParagraphFont"/>
    <w:link w:val="Quote"/>
    <w:uiPriority w:val="29"/>
    <w:rsid w:val="007C08B9"/>
    <w:rPr>
      <w:iCs/>
      <w:color w:val="612467" w:themeColor="accent2"/>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BF1E72"/>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rFonts w:asciiTheme="majorHAnsi" w:hAnsiTheme="majorHAnsi"/>
        <w:color w:val="FFFFFF"/>
      </w:rPr>
      <w:tblPr/>
      <w:trPr>
        <w:cantSplit/>
        <w:tblHeader/>
      </w:trPr>
      <w:tcPr>
        <w:shd w:val="clear" w:color="auto" w:fill="612467" w:themeFill="accent2"/>
        <w:vAlign w:val="top"/>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1B7338"/>
    <w:pPr>
      <w:spacing w:after="1200"/>
      <w:ind w:left="680"/>
      <w:outlineLvl w:val="9"/>
    </w:pPr>
    <w:rPr>
      <w:color w:val="FFFFFF" w:themeColor="background1"/>
      <w:sz w:val="36"/>
    </w:rPr>
  </w:style>
  <w:style w:type="character" w:customStyle="1" w:styleId="SubtitleChar">
    <w:name w:val="Subtitle Char"/>
    <w:basedOn w:val="DefaultParagraphFont"/>
    <w:link w:val="Subtitle"/>
    <w:uiPriority w:val="11"/>
    <w:rsid w:val="001B7338"/>
    <w:rPr>
      <w:rFonts w:asciiTheme="majorHAnsi" w:eastAsiaTheme="majorEastAsia" w:hAnsiTheme="majorHAnsi" w:cstheme="majorBidi"/>
      <w:color w:val="FFFFFF" w:themeColor="background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sid w:val="00DC1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IA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s-helpdesk@essex.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ms-helpdesk@esse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r.parksmart.app/tabs/home" TargetMode="External"/><Relationship Id="rId5" Type="http://schemas.openxmlformats.org/officeDocument/2006/relationships/webSettings" Target="webSettings.xml"/><Relationship Id="rId15" Type="http://schemas.openxmlformats.org/officeDocument/2006/relationships/hyperlink" Target="https://www.theias.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theia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17457\Downloads\UOE_Policy%20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UOE_Policy Template</Template>
  <TotalTime>2</TotalTime>
  <Pages>8</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University of Essex Car Parking Appeal Policy</vt:lpstr>
    </vt:vector>
  </TitlesOfParts>
  <Manager/>
  <Company/>
  <LinksUpToDate>false</LinksUpToDate>
  <CharactersWithSpaces>10674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 Car Parking Appeal Policy</dc:title>
  <dc:subject/>
  <dc:creator>Travel and Transport Officer</dc:creator>
  <cp:keywords/>
  <dc:description/>
  <cp:lastModifiedBy>Jackson, Nicky</cp:lastModifiedBy>
  <cp:revision>2</cp:revision>
  <cp:lastPrinted>2021-05-04T15:09:00Z</cp:lastPrinted>
  <dcterms:created xsi:type="dcterms:W3CDTF">2025-04-02T13:03:00Z</dcterms:created>
  <dcterms:modified xsi:type="dcterms:W3CDTF">2025-04-02T13:03:00Z</dcterms:modified>
  <cp:category/>
</cp:coreProperties>
</file>