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D859" w14:textId="77777777" w:rsidR="004710AA" w:rsidRDefault="004F674E" w:rsidP="005B0744">
      <w:pPr>
        <w:pStyle w:val="NoSpacing"/>
        <w:rPr>
          <w:sz w:val="28"/>
        </w:rPr>
      </w:pPr>
      <w:r w:rsidRPr="00E90827">
        <w:rPr>
          <w:sz w:val="28"/>
        </w:rPr>
        <w:t>Risk assessment</w:t>
      </w:r>
    </w:p>
    <w:p w14:paraId="68ED399E" w14:textId="77777777" w:rsidR="004710AA" w:rsidRDefault="004710AA" w:rsidP="005B0744">
      <w:pPr>
        <w:pStyle w:val="NoSpacing"/>
        <w:rPr>
          <w:sz w:val="28"/>
        </w:rPr>
      </w:pPr>
    </w:p>
    <w:p w14:paraId="08501D7F" w14:textId="559BBC26" w:rsidR="00552E6C" w:rsidRPr="0018125D" w:rsidRDefault="0018125D" w:rsidP="005B0744">
      <w:pPr>
        <w:pStyle w:val="NoSpacing"/>
        <w:rPr>
          <w:b w:val="0"/>
          <w:bCs/>
          <w:color w:val="FF0000"/>
          <w:sz w:val="22"/>
          <w:szCs w:val="22"/>
        </w:rPr>
      </w:pPr>
      <w:r>
        <w:rPr>
          <w:b w:val="0"/>
          <w:bCs/>
          <w:color w:val="FF0000"/>
          <w:sz w:val="22"/>
          <w:szCs w:val="22"/>
        </w:rPr>
        <w:t xml:space="preserve">Please be aware that this a template document which has tried to cover </w:t>
      </w:r>
      <w:proofErr w:type="gramStart"/>
      <w:r>
        <w:rPr>
          <w:b w:val="0"/>
          <w:bCs/>
          <w:color w:val="FF0000"/>
          <w:sz w:val="22"/>
          <w:szCs w:val="22"/>
        </w:rPr>
        <w:t>the majority of</w:t>
      </w:r>
      <w:proofErr w:type="gramEnd"/>
      <w:r>
        <w:rPr>
          <w:b w:val="0"/>
          <w:bCs/>
          <w:color w:val="FF0000"/>
          <w:sz w:val="22"/>
          <w:szCs w:val="22"/>
        </w:rPr>
        <w:t xml:space="preserve"> hazards that will occur in a storage area. When using this document, please ensure that any hazards or control measures not relevant are removed. </w:t>
      </w:r>
      <w:proofErr w:type="gramStart"/>
      <w:r>
        <w:rPr>
          <w:b w:val="0"/>
          <w:bCs/>
          <w:color w:val="FF0000"/>
          <w:sz w:val="22"/>
          <w:szCs w:val="22"/>
        </w:rPr>
        <w:t>Alternatively</w:t>
      </w:r>
      <w:proofErr w:type="gramEnd"/>
      <w:r>
        <w:rPr>
          <w:b w:val="0"/>
          <w:bCs/>
          <w:color w:val="FF0000"/>
          <w:sz w:val="22"/>
          <w:szCs w:val="22"/>
        </w:rPr>
        <w:t xml:space="preserve"> if there are hazards or control measures that are not on this template, please include them as well. Please ensure that the risk rating has been reviewed also.</w:t>
      </w:r>
    </w:p>
    <w:tbl>
      <w:tblPr>
        <w:tblStyle w:val="TableGrid"/>
        <w:tblW w:w="145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4358"/>
        <w:gridCol w:w="2282"/>
        <w:gridCol w:w="1156"/>
        <w:gridCol w:w="3686"/>
      </w:tblGrid>
      <w:tr w:rsidR="006F7483" w:rsidRPr="00B90263" w14:paraId="1B9A75BA" w14:textId="77777777" w:rsidTr="00AE6C77">
        <w:trPr>
          <w:trHeight w:val="1131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48842BE" w14:textId="77777777" w:rsidR="006F7483" w:rsidRPr="00AC7A8F" w:rsidRDefault="006F7483" w:rsidP="00AE6C77">
            <w:pPr>
              <w:rPr>
                <w:rStyle w:val="Strong"/>
              </w:rPr>
            </w:pPr>
            <w:r>
              <w:rPr>
                <w:rStyle w:val="Strong"/>
              </w:rPr>
              <w:t>Description of activity / area being assessed</w:t>
            </w:r>
          </w:p>
        </w:tc>
        <w:tc>
          <w:tcPr>
            <w:tcW w:w="6640" w:type="dxa"/>
            <w:gridSpan w:val="2"/>
            <w:shd w:val="clear" w:color="auto" w:fill="FFFFFF" w:themeFill="background1"/>
          </w:tcPr>
          <w:p w14:paraId="7A752FF0" w14:textId="10E2097F" w:rsidR="006F7483" w:rsidRPr="0018125D" w:rsidRDefault="0018125D" w:rsidP="0018125D">
            <w:pPr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Please describe the storage area(s) being assessed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CBCFDE0" w14:textId="77777777" w:rsidR="006F7483" w:rsidRPr="00AC7A8F" w:rsidRDefault="006F7483" w:rsidP="00AE6C7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Location</w:t>
            </w:r>
          </w:p>
        </w:tc>
        <w:tc>
          <w:tcPr>
            <w:tcW w:w="3686" w:type="dxa"/>
            <w:shd w:val="clear" w:color="auto" w:fill="FFFFFF" w:themeFill="background1"/>
          </w:tcPr>
          <w:p w14:paraId="79646598" w14:textId="763D1A1F" w:rsidR="006F7483" w:rsidRPr="0018125D" w:rsidRDefault="0018125D" w:rsidP="00EC58A2">
            <w:pPr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Please describe where the storage area(s) are located</w:t>
            </w:r>
          </w:p>
        </w:tc>
      </w:tr>
      <w:tr w:rsidR="00EC58A2" w:rsidRPr="00B90263" w14:paraId="79770F98" w14:textId="77777777" w:rsidTr="00AE6C77">
        <w:trPr>
          <w:trHeight w:val="709"/>
        </w:trPr>
        <w:tc>
          <w:tcPr>
            <w:tcW w:w="3085" w:type="dxa"/>
            <w:shd w:val="clear" w:color="auto" w:fill="F2F2F2" w:themeFill="background1" w:themeFillShade="F2"/>
          </w:tcPr>
          <w:p w14:paraId="0FA31DA4" w14:textId="77777777" w:rsidR="00EC58A2" w:rsidRPr="00EC58A2" w:rsidRDefault="00EC58A2" w:rsidP="006F7483">
            <w:pPr>
              <w:spacing w:before="120" w:after="120"/>
              <w:rPr>
                <w:rStyle w:val="Strong"/>
              </w:rPr>
            </w:pPr>
            <w:r w:rsidRPr="00AC7A8F">
              <w:rPr>
                <w:rStyle w:val="Strong"/>
              </w:rPr>
              <w:t>Manager responsible</w:t>
            </w:r>
          </w:p>
        </w:tc>
        <w:tc>
          <w:tcPr>
            <w:tcW w:w="4358" w:type="dxa"/>
            <w:shd w:val="clear" w:color="auto" w:fill="FFFFFF" w:themeFill="background1"/>
          </w:tcPr>
          <w:p w14:paraId="7FB4D179" w14:textId="07FE6C04" w:rsidR="00EC58A2" w:rsidRPr="00B90263" w:rsidRDefault="0018125D" w:rsidP="006F7483">
            <w:pPr>
              <w:spacing w:before="120" w:after="120"/>
            </w:pPr>
            <w:r w:rsidRPr="0018125D">
              <w:rPr>
                <w:color w:val="FF0000"/>
              </w:rPr>
              <w:t>Name of manager responsible for this area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56D5184D" w14:textId="77777777" w:rsidR="00EC58A2" w:rsidRPr="00AC7A8F" w:rsidRDefault="00EC58A2" w:rsidP="00AE6C77">
            <w:pPr>
              <w:spacing w:before="120" w:after="120"/>
              <w:rPr>
                <w:rStyle w:val="Strong"/>
              </w:rPr>
            </w:pPr>
            <w:r>
              <w:rPr>
                <w:rStyle w:val="Strong"/>
              </w:rPr>
              <w:t>Signature &amp; date</w:t>
            </w:r>
          </w:p>
        </w:tc>
        <w:tc>
          <w:tcPr>
            <w:tcW w:w="4842" w:type="dxa"/>
            <w:gridSpan w:val="2"/>
            <w:shd w:val="clear" w:color="auto" w:fill="FFFFFF" w:themeFill="background1"/>
          </w:tcPr>
          <w:p w14:paraId="481219DD" w14:textId="18DC31B7" w:rsidR="00EC58A2" w:rsidRPr="00E90827" w:rsidRDefault="0018125D" w:rsidP="006F7483">
            <w:pPr>
              <w:spacing w:before="120" w:after="120"/>
              <w:rPr>
                <w:rStyle w:val="Strong"/>
                <w:b w:val="0"/>
              </w:rPr>
            </w:pPr>
            <w:r w:rsidRPr="0018125D">
              <w:rPr>
                <w:rStyle w:val="Strong"/>
                <w:b w:val="0"/>
                <w:color w:val="FF0000"/>
              </w:rPr>
              <w:t>Manager responsible signature</w:t>
            </w:r>
          </w:p>
        </w:tc>
      </w:tr>
      <w:tr w:rsidR="00EC58A2" w:rsidRPr="00B90263" w14:paraId="22718BD2" w14:textId="77777777" w:rsidTr="00AE6C77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79E3207" w14:textId="77777777" w:rsidR="00EC58A2" w:rsidRPr="00AC7A8F" w:rsidRDefault="00EC58A2" w:rsidP="00AE6C77">
            <w:pPr>
              <w:spacing w:before="120" w:after="120"/>
              <w:rPr>
                <w:rStyle w:val="Strong"/>
              </w:rPr>
            </w:pPr>
            <w:r w:rsidRPr="00AC7A8F">
              <w:rPr>
                <w:rStyle w:val="Strong"/>
              </w:rPr>
              <w:t>Assessed by</w:t>
            </w:r>
            <w:r>
              <w:rPr>
                <w:rStyle w:val="Strong"/>
              </w:rPr>
              <w:t xml:space="preserve"> (name &amp; role)</w:t>
            </w:r>
          </w:p>
        </w:tc>
        <w:tc>
          <w:tcPr>
            <w:tcW w:w="4358" w:type="dxa"/>
            <w:shd w:val="clear" w:color="auto" w:fill="FFFFFF" w:themeFill="background1"/>
          </w:tcPr>
          <w:p w14:paraId="3AF22177" w14:textId="166153C8" w:rsidR="00EC58A2" w:rsidRPr="00E90827" w:rsidRDefault="0018125D" w:rsidP="006F7483">
            <w:pPr>
              <w:spacing w:before="120" w:after="120"/>
              <w:rPr>
                <w:rStyle w:val="Strong"/>
                <w:b w:val="0"/>
              </w:rPr>
            </w:pPr>
            <w:r w:rsidRPr="0018125D">
              <w:rPr>
                <w:rStyle w:val="Strong"/>
                <w:b w:val="0"/>
                <w:color w:val="FF0000"/>
              </w:rPr>
              <w:t>Name of person completing this assessment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75FAB3C9" w14:textId="77777777" w:rsidR="00EC58A2" w:rsidRPr="00AC7A8F" w:rsidRDefault="00EC58A2" w:rsidP="00AE6C77">
            <w:pPr>
              <w:spacing w:before="120" w:after="120"/>
              <w:rPr>
                <w:rStyle w:val="Strong"/>
              </w:rPr>
            </w:pPr>
            <w:r>
              <w:rPr>
                <w:rStyle w:val="Strong"/>
              </w:rPr>
              <w:t>Signature &amp;</w:t>
            </w:r>
            <w:r w:rsidR="00BE5DD1">
              <w:rPr>
                <w:rStyle w:val="Strong"/>
              </w:rPr>
              <w:t xml:space="preserve"> assessment</w:t>
            </w:r>
            <w:r>
              <w:rPr>
                <w:rStyle w:val="Strong"/>
              </w:rPr>
              <w:t xml:space="preserve"> date</w:t>
            </w:r>
          </w:p>
        </w:tc>
        <w:tc>
          <w:tcPr>
            <w:tcW w:w="4842" w:type="dxa"/>
            <w:gridSpan w:val="2"/>
            <w:shd w:val="clear" w:color="auto" w:fill="FFFFFF" w:themeFill="background1"/>
          </w:tcPr>
          <w:p w14:paraId="2DD012E4" w14:textId="0ADC1BF2" w:rsidR="00EC58A2" w:rsidRPr="00E90827" w:rsidRDefault="0018125D" w:rsidP="006F7483">
            <w:pPr>
              <w:spacing w:before="120" w:after="120"/>
              <w:rPr>
                <w:rStyle w:val="Strong"/>
                <w:b w:val="0"/>
              </w:rPr>
            </w:pPr>
            <w:r w:rsidRPr="0018125D">
              <w:rPr>
                <w:rStyle w:val="Strong"/>
                <w:b w:val="0"/>
                <w:color w:val="FF0000"/>
              </w:rPr>
              <w:t>Assessor</w:t>
            </w:r>
            <w:r w:rsidR="00BF25AE">
              <w:rPr>
                <w:rStyle w:val="Strong"/>
                <w:b w:val="0"/>
                <w:color w:val="FF0000"/>
              </w:rPr>
              <w:t>’</w:t>
            </w:r>
            <w:r w:rsidRPr="0018125D">
              <w:rPr>
                <w:rStyle w:val="Strong"/>
                <w:b w:val="0"/>
                <w:color w:val="FF0000"/>
              </w:rPr>
              <w:t>s signature</w:t>
            </w:r>
          </w:p>
        </w:tc>
      </w:tr>
    </w:tbl>
    <w:p w14:paraId="790DCCB4" w14:textId="77777777" w:rsidR="004F674E" w:rsidRPr="003916DA" w:rsidRDefault="004F674E">
      <w:pPr>
        <w:rPr>
          <w:rFonts w:cs="Arial"/>
          <w:b/>
        </w:rPr>
      </w:pPr>
    </w:p>
    <w:tbl>
      <w:tblPr>
        <w:tblStyle w:val="TableGrid"/>
        <w:tblW w:w="5139" w:type="pct"/>
        <w:tblLook w:val="04A0" w:firstRow="1" w:lastRow="0" w:firstColumn="1" w:lastColumn="0" w:noHBand="0" w:noVBand="1"/>
      </w:tblPr>
      <w:tblGrid>
        <w:gridCol w:w="2051"/>
        <w:gridCol w:w="1354"/>
        <w:gridCol w:w="3695"/>
        <w:gridCol w:w="1452"/>
        <w:gridCol w:w="2132"/>
        <w:gridCol w:w="1133"/>
        <w:gridCol w:w="1066"/>
        <w:gridCol w:w="1453"/>
      </w:tblGrid>
      <w:tr w:rsidR="006F1A83" w:rsidRPr="00AC7A8F" w14:paraId="02B5592B" w14:textId="77777777" w:rsidTr="001E359A">
        <w:trPr>
          <w:tblHeader/>
        </w:trPr>
        <w:tc>
          <w:tcPr>
            <w:tcW w:w="738" w:type="pct"/>
            <w:shd w:val="clear" w:color="auto" w:fill="D9D9D9" w:themeFill="background1" w:themeFillShade="D9"/>
          </w:tcPr>
          <w:p w14:paraId="2173184B" w14:textId="77777777" w:rsidR="006F7483" w:rsidRPr="00AC7A8F" w:rsidRDefault="006F7483" w:rsidP="004F674E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Hazard</w:t>
            </w:r>
            <w:r>
              <w:rPr>
                <w:rStyle w:val="Strong"/>
              </w:rPr>
              <w:t xml:space="preserve"> (H)</w:t>
            </w:r>
          </w:p>
          <w:p w14:paraId="5777B54F" w14:textId="77777777" w:rsidR="006F7483" w:rsidRPr="00AC7A8F" w:rsidRDefault="006F7483" w:rsidP="004F674E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hazardous event</w:t>
            </w:r>
            <w:r>
              <w:rPr>
                <w:rStyle w:val="Strong"/>
              </w:rPr>
              <w:t xml:space="preserve"> (HE)</w:t>
            </w:r>
          </w:p>
          <w:p w14:paraId="26737D27" w14:textId="77777777" w:rsidR="006F7483" w:rsidRPr="00AC7A8F" w:rsidRDefault="006F7483" w:rsidP="004F674E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consequence</w:t>
            </w:r>
            <w:r>
              <w:rPr>
                <w:rStyle w:val="Strong"/>
              </w:rPr>
              <w:t xml:space="preserve"> (C)</w:t>
            </w:r>
          </w:p>
        </w:tc>
        <w:tc>
          <w:tcPr>
            <w:tcW w:w="455" w:type="pct"/>
            <w:shd w:val="clear" w:color="auto" w:fill="D9D9D9" w:themeFill="background1" w:themeFillShade="D9"/>
          </w:tcPr>
          <w:p w14:paraId="379518C3" w14:textId="77777777" w:rsidR="006F7483" w:rsidRPr="00AC7A8F" w:rsidRDefault="006F7483" w:rsidP="004F674E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Who might be harmed</w:t>
            </w:r>
          </w:p>
        </w:tc>
        <w:tc>
          <w:tcPr>
            <w:tcW w:w="1311" w:type="pct"/>
            <w:shd w:val="clear" w:color="auto" w:fill="D9D9D9" w:themeFill="background1" w:themeFillShade="D9"/>
          </w:tcPr>
          <w:p w14:paraId="6DE3B147" w14:textId="77777777" w:rsidR="006F7483" w:rsidRPr="00AC7A8F" w:rsidRDefault="006F7483" w:rsidP="004F674E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Current controls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14:paraId="5314D2B9" w14:textId="77777777" w:rsidR="006F7483" w:rsidRPr="00AC7A8F" w:rsidRDefault="006F7483" w:rsidP="004F674E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Current risk</w:t>
            </w:r>
          </w:p>
          <w:p w14:paraId="60E4ECA1" w14:textId="77777777" w:rsidR="006F7483" w:rsidRPr="00AC7A8F" w:rsidRDefault="006F7483" w:rsidP="004F674E">
            <w:pPr>
              <w:jc w:val="center"/>
              <w:rPr>
                <w:rStyle w:val="Strong"/>
              </w:rPr>
            </w:pPr>
            <w:proofErr w:type="spellStart"/>
            <w:r w:rsidRPr="00AC7A8F">
              <w:rPr>
                <w:rStyle w:val="Strong"/>
              </w:rPr>
              <w:t>LxC</w:t>
            </w:r>
            <w:proofErr w:type="spellEnd"/>
            <w:r w:rsidRPr="00AC7A8F">
              <w:rPr>
                <w:rStyle w:val="Strong"/>
              </w:rPr>
              <w:t>=R</w:t>
            </w:r>
          </w:p>
        </w:tc>
        <w:tc>
          <w:tcPr>
            <w:tcW w:w="766" w:type="pct"/>
            <w:shd w:val="clear" w:color="auto" w:fill="D9D9D9" w:themeFill="background1" w:themeFillShade="D9"/>
          </w:tcPr>
          <w:p w14:paraId="4956CC22" w14:textId="77777777" w:rsidR="006F7483" w:rsidRPr="00AC7A8F" w:rsidRDefault="006F7483" w:rsidP="004F674E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Additional controls</w:t>
            </w:r>
            <w:r>
              <w:rPr>
                <w:rStyle w:val="Strong"/>
              </w:rPr>
              <w:t xml:space="preserve"> needed to reduce risk</w:t>
            </w:r>
          </w:p>
        </w:tc>
        <w:tc>
          <w:tcPr>
            <w:tcW w:w="395" w:type="pct"/>
            <w:shd w:val="clear" w:color="auto" w:fill="D9D9D9" w:themeFill="background1" w:themeFillShade="D9"/>
          </w:tcPr>
          <w:p w14:paraId="21E2008E" w14:textId="77777777" w:rsidR="006F7483" w:rsidRPr="00AC7A8F" w:rsidRDefault="006F7483" w:rsidP="00675E75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 xml:space="preserve">Residual </w:t>
            </w:r>
          </w:p>
          <w:p w14:paraId="763C1702" w14:textId="77777777" w:rsidR="006F7483" w:rsidRPr="00AC7A8F" w:rsidRDefault="006F7483" w:rsidP="00675E75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risk</w:t>
            </w:r>
          </w:p>
          <w:p w14:paraId="7A4B963E" w14:textId="77777777" w:rsidR="006F7483" w:rsidRPr="00AC7A8F" w:rsidRDefault="006F7483" w:rsidP="00675E75">
            <w:pPr>
              <w:jc w:val="center"/>
              <w:rPr>
                <w:rStyle w:val="Strong"/>
              </w:rPr>
            </w:pPr>
            <w:proofErr w:type="spellStart"/>
            <w:r w:rsidRPr="00AC7A8F">
              <w:rPr>
                <w:rStyle w:val="Strong"/>
              </w:rPr>
              <w:t>LxC</w:t>
            </w:r>
            <w:proofErr w:type="spellEnd"/>
            <w:r w:rsidRPr="00AC7A8F">
              <w:rPr>
                <w:rStyle w:val="Strong"/>
              </w:rPr>
              <w:t>=R</w:t>
            </w:r>
          </w:p>
        </w:tc>
        <w:tc>
          <w:tcPr>
            <w:tcW w:w="394" w:type="pct"/>
            <w:shd w:val="clear" w:color="auto" w:fill="D9D9D9" w:themeFill="background1" w:themeFillShade="D9"/>
          </w:tcPr>
          <w:p w14:paraId="40CFC5BB" w14:textId="77777777" w:rsidR="006F7483" w:rsidRPr="00AC7A8F" w:rsidRDefault="006F7483" w:rsidP="00675E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Target </w:t>
            </w:r>
            <w:r w:rsidRPr="00AC7A8F">
              <w:rPr>
                <w:rStyle w:val="Strong"/>
              </w:rPr>
              <w:t xml:space="preserve">Date </w:t>
            </w:r>
          </w:p>
          <w:p w14:paraId="7DE15E7D" w14:textId="77777777" w:rsidR="006F7483" w:rsidRPr="00AC7A8F" w:rsidRDefault="006F7483" w:rsidP="00675E75">
            <w:pPr>
              <w:jc w:val="center"/>
              <w:rPr>
                <w:rStyle w:val="Strong"/>
              </w:rPr>
            </w:pPr>
          </w:p>
        </w:tc>
        <w:tc>
          <w:tcPr>
            <w:tcW w:w="529" w:type="pct"/>
            <w:shd w:val="clear" w:color="auto" w:fill="D9D9D9" w:themeFill="background1" w:themeFillShade="D9"/>
          </w:tcPr>
          <w:p w14:paraId="49F2CD28" w14:textId="77777777" w:rsidR="006F7483" w:rsidRPr="00AC7A8F" w:rsidRDefault="006F7483" w:rsidP="00675E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Date achieved</w:t>
            </w:r>
          </w:p>
        </w:tc>
      </w:tr>
      <w:tr w:rsidR="004710AA" w:rsidRPr="003916DA" w14:paraId="5C35805E" w14:textId="77777777" w:rsidTr="004710AA">
        <w:tc>
          <w:tcPr>
            <w:tcW w:w="738" w:type="pct"/>
          </w:tcPr>
          <w:p w14:paraId="6E2BFA1B" w14:textId="77777777" w:rsidR="006F7483" w:rsidRDefault="00412243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</w:t>
            </w:r>
            <w:r>
              <w:rPr>
                <w:rStyle w:val="Strong"/>
              </w:rPr>
              <w:t xml:space="preserve"> – </w:t>
            </w:r>
            <w:r w:rsidR="00037E20" w:rsidRPr="00412243">
              <w:rPr>
                <w:rStyle w:val="Strong"/>
                <w:b w:val="0"/>
              </w:rPr>
              <w:t>Falling objects</w:t>
            </w:r>
          </w:p>
          <w:p w14:paraId="00580ADD" w14:textId="77777777" w:rsidR="00412243" w:rsidRDefault="00412243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HE – Struck by falling object</w:t>
            </w:r>
          </w:p>
          <w:p w14:paraId="022A6DBD" w14:textId="5E8179EC" w:rsidR="00412243" w:rsidRPr="00412243" w:rsidRDefault="00412243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lastRenderedPageBreak/>
              <w:t>C – Head trauma</w:t>
            </w:r>
            <w:r w:rsidR="00BF25AE">
              <w:rPr>
                <w:rStyle w:val="Strong"/>
                <w:b w:val="0"/>
              </w:rPr>
              <w:t>,</w:t>
            </w:r>
            <w:r w:rsidR="00BF25AE">
              <w:rPr>
                <w:rStyle w:val="Strong"/>
              </w:rPr>
              <w:t xml:space="preserve"> bruising / cuts</w:t>
            </w:r>
          </w:p>
        </w:tc>
        <w:tc>
          <w:tcPr>
            <w:tcW w:w="455" w:type="pct"/>
          </w:tcPr>
          <w:p w14:paraId="30C09819" w14:textId="6D64EAF0" w:rsidR="006F7483" w:rsidRPr="00E90827" w:rsidRDefault="008D4215" w:rsidP="006F7483">
            <w:pPr>
              <w:spacing w:before="120" w:after="120"/>
            </w:pPr>
            <w:r>
              <w:lastRenderedPageBreak/>
              <w:t xml:space="preserve">Staff, </w:t>
            </w:r>
            <w:r w:rsidR="006B1606">
              <w:t>S</w:t>
            </w:r>
            <w:r>
              <w:t xml:space="preserve">tudents and </w:t>
            </w:r>
            <w:r w:rsidR="006B1606">
              <w:t>C</w:t>
            </w:r>
            <w:r>
              <w:t>ontractors</w:t>
            </w:r>
          </w:p>
        </w:tc>
        <w:tc>
          <w:tcPr>
            <w:tcW w:w="1311" w:type="pct"/>
          </w:tcPr>
          <w:p w14:paraId="64A188DE" w14:textId="1D650A5B" w:rsidR="008223CA" w:rsidRDefault="008223CA" w:rsidP="008223CA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 xml:space="preserve">Objects not stored on high shelving. Where this is not possible, items such as foot </w:t>
            </w:r>
            <w:r w:rsidR="00BF25AE">
              <w:lastRenderedPageBreak/>
              <w:t xml:space="preserve">stools </w:t>
            </w:r>
            <w:r>
              <w:t xml:space="preserve">and step ladders </w:t>
            </w:r>
            <w:proofErr w:type="gramStart"/>
            <w:r>
              <w:t>provided</w:t>
            </w:r>
            <w:proofErr w:type="gramEnd"/>
          </w:p>
          <w:p w14:paraId="12CEF5B6" w14:textId="484B10D0" w:rsidR="008223CA" w:rsidRDefault="008223CA" w:rsidP="008223CA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Step ladders</w:t>
            </w:r>
            <w:r w:rsidR="000B76B4">
              <w:t xml:space="preserve"> and foot </w:t>
            </w:r>
            <w:r w:rsidR="00BF25AE">
              <w:t xml:space="preserve">stools </w:t>
            </w:r>
            <w:r w:rsidR="000B76B4">
              <w:t xml:space="preserve">undergo annual </w:t>
            </w:r>
            <w:proofErr w:type="gramStart"/>
            <w:r w:rsidR="000B76B4">
              <w:t>inspection</w:t>
            </w:r>
            <w:proofErr w:type="gramEnd"/>
          </w:p>
          <w:p w14:paraId="6797B68A" w14:textId="23DB4DAD" w:rsidR="008223CA" w:rsidRPr="00E90827" w:rsidRDefault="008223CA" w:rsidP="000B76B4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Heavy objects not stored on top shelf</w:t>
            </w:r>
          </w:p>
        </w:tc>
        <w:tc>
          <w:tcPr>
            <w:tcW w:w="411" w:type="pct"/>
            <w:shd w:val="clear" w:color="auto" w:fill="FFC000"/>
          </w:tcPr>
          <w:p w14:paraId="4242BEEC" w14:textId="2D340D32" w:rsidR="006F7483" w:rsidRPr="00E90827" w:rsidRDefault="006F1A83" w:rsidP="00E90827">
            <w:pPr>
              <w:spacing w:before="120" w:after="120"/>
              <w:jc w:val="center"/>
            </w:pPr>
            <w:r>
              <w:lastRenderedPageBreak/>
              <w:t>Unlikely x Major = Medium</w:t>
            </w:r>
          </w:p>
        </w:tc>
        <w:tc>
          <w:tcPr>
            <w:tcW w:w="766" w:type="pct"/>
          </w:tcPr>
          <w:p w14:paraId="15A34811" w14:textId="77777777" w:rsidR="006F7483" w:rsidRPr="00E90827" w:rsidRDefault="006F7483" w:rsidP="006F7483">
            <w:pPr>
              <w:spacing w:before="120" w:after="120"/>
            </w:pPr>
          </w:p>
        </w:tc>
        <w:tc>
          <w:tcPr>
            <w:tcW w:w="395" w:type="pct"/>
          </w:tcPr>
          <w:p w14:paraId="34106FF8" w14:textId="77777777" w:rsidR="006F7483" w:rsidRPr="00E90827" w:rsidRDefault="006F7483" w:rsidP="00E90827">
            <w:pPr>
              <w:spacing w:before="120" w:after="120"/>
              <w:jc w:val="center"/>
            </w:pPr>
          </w:p>
        </w:tc>
        <w:tc>
          <w:tcPr>
            <w:tcW w:w="394" w:type="pct"/>
          </w:tcPr>
          <w:p w14:paraId="75A454FB" w14:textId="77777777" w:rsidR="006F7483" w:rsidRPr="00E90827" w:rsidRDefault="006F7483" w:rsidP="00E90827">
            <w:pPr>
              <w:spacing w:before="120" w:after="120"/>
              <w:jc w:val="center"/>
            </w:pPr>
          </w:p>
        </w:tc>
        <w:tc>
          <w:tcPr>
            <w:tcW w:w="529" w:type="pct"/>
          </w:tcPr>
          <w:p w14:paraId="3C5D23DC" w14:textId="77777777" w:rsidR="006F7483" w:rsidRPr="00E90827" w:rsidRDefault="006F7483" w:rsidP="006F7483">
            <w:pPr>
              <w:spacing w:before="120" w:after="120"/>
            </w:pPr>
          </w:p>
        </w:tc>
      </w:tr>
      <w:tr w:rsidR="00BA4B12" w:rsidRPr="003916DA" w14:paraId="71903221" w14:textId="77777777" w:rsidTr="004710AA">
        <w:tc>
          <w:tcPr>
            <w:tcW w:w="738" w:type="pct"/>
          </w:tcPr>
          <w:p w14:paraId="5EB7C8A9" w14:textId="3590E35A" w:rsidR="00BA4B12" w:rsidRPr="00BA4B12" w:rsidRDefault="00BA4B12" w:rsidP="006F7483">
            <w:pPr>
              <w:spacing w:before="120" w:after="120"/>
              <w:rPr>
                <w:rStyle w:val="Strong"/>
                <w:b w:val="0"/>
              </w:rPr>
            </w:pPr>
            <w:r w:rsidRPr="00BA4B12">
              <w:rPr>
                <w:rStyle w:val="Strong"/>
                <w:b w:val="0"/>
              </w:rPr>
              <w:t>H</w:t>
            </w:r>
            <w:r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</w:rPr>
              <w:t xml:space="preserve">– </w:t>
            </w:r>
            <w:r w:rsidRPr="00BA4B12">
              <w:rPr>
                <w:rStyle w:val="Strong"/>
                <w:b w:val="0"/>
                <w:bCs w:val="0"/>
              </w:rPr>
              <w:t>Working at height</w:t>
            </w:r>
          </w:p>
          <w:p w14:paraId="432519B1" w14:textId="359BF43B" w:rsidR="00BA4B12" w:rsidRPr="00BA4B12" w:rsidRDefault="00BA4B12" w:rsidP="006F7483">
            <w:pPr>
              <w:spacing w:before="120" w:after="120"/>
              <w:rPr>
                <w:rStyle w:val="Strong"/>
                <w:b w:val="0"/>
              </w:rPr>
            </w:pPr>
            <w:r w:rsidRPr="00BA4B12">
              <w:rPr>
                <w:rStyle w:val="Strong"/>
                <w:b w:val="0"/>
              </w:rPr>
              <w:t>HE</w:t>
            </w:r>
            <w:r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</w:rPr>
              <w:t xml:space="preserve">– </w:t>
            </w:r>
            <w:r w:rsidRPr="00BA4B12">
              <w:rPr>
                <w:rStyle w:val="Strong"/>
                <w:b w:val="0"/>
                <w:bCs w:val="0"/>
              </w:rPr>
              <w:t>Falling from height</w:t>
            </w:r>
          </w:p>
          <w:p w14:paraId="662FFA5B" w14:textId="2E193C7A" w:rsidR="00BA4B12" w:rsidRDefault="00BA4B12" w:rsidP="006F7483">
            <w:pPr>
              <w:spacing w:before="120" w:after="120"/>
              <w:rPr>
                <w:rStyle w:val="Strong"/>
                <w:b w:val="0"/>
              </w:rPr>
            </w:pPr>
            <w:r w:rsidRPr="00BA4B12">
              <w:rPr>
                <w:rStyle w:val="Strong"/>
                <w:b w:val="0"/>
              </w:rPr>
              <w:t>C</w:t>
            </w:r>
            <w:r>
              <w:rPr>
                <w:rStyle w:val="Strong"/>
                <w:b w:val="0"/>
              </w:rPr>
              <w:t xml:space="preserve"> </w:t>
            </w:r>
            <w:r w:rsidRPr="00BA4B12">
              <w:rPr>
                <w:rStyle w:val="Strong"/>
                <w:b w:val="0"/>
                <w:bCs w:val="0"/>
              </w:rPr>
              <w:t xml:space="preserve">– Fracture, </w:t>
            </w:r>
            <w:r w:rsidR="00835550">
              <w:rPr>
                <w:rStyle w:val="Strong"/>
                <w:b w:val="0"/>
                <w:bCs w:val="0"/>
              </w:rPr>
              <w:t>c</w:t>
            </w:r>
            <w:r w:rsidR="00835550" w:rsidRPr="00835550">
              <w:rPr>
                <w:rStyle w:val="Strong"/>
                <w:b w:val="0"/>
                <w:bCs w:val="0"/>
              </w:rPr>
              <w:t>ut</w:t>
            </w:r>
          </w:p>
        </w:tc>
        <w:tc>
          <w:tcPr>
            <w:tcW w:w="455" w:type="pct"/>
          </w:tcPr>
          <w:p w14:paraId="59A46D3E" w14:textId="09BCE112" w:rsidR="00BA4B12" w:rsidRDefault="003E102A" w:rsidP="006F7483">
            <w:pPr>
              <w:spacing w:before="120" w:after="120"/>
            </w:pPr>
            <w:r w:rsidRPr="003E102A">
              <w:t>Staff, Students and Contractors</w:t>
            </w:r>
          </w:p>
        </w:tc>
        <w:tc>
          <w:tcPr>
            <w:tcW w:w="1311" w:type="pct"/>
          </w:tcPr>
          <w:p w14:paraId="6AD330B8" w14:textId="02D0C78B" w:rsidR="00BA4B12" w:rsidRDefault="0023479F" w:rsidP="008223CA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 xml:space="preserve">Work carried out at ground </w:t>
            </w:r>
            <w:r w:rsidR="003E102A">
              <w:t xml:space="preserve">level </w:t>
            </w:r>
            <w:r>
              <w:t xml:space="preserve">whenever </w:t>
            </w:r>
            <w:proofErr w:type="gramStart"/>
            <w:r>
              <w:t>possible</w:t>
            </w:r>
            <w:proofErr w:type="gramEnd"/>
          </w:p>
          <w:p w14:paraId="15E72DB3" w14:textId="34F1E5C2" w:rsidR="0023479F" w:rsidRDefault="0023479F" w:rsidP="008223CA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Equipment used to work at height inspected according to relevant regulations</w:t>
            </w:r>
          </w:p>
          <w:p w14:paraId="27B02DF3" w14:textId="1E83DA04" w:rsidR="00835550" w:rsidRDefault="0023479F" w:rsidP="00835550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Ladders and foot</w:t>
            </w:r>
            <w:r w:rsidR="003E102A">
              <w:t xml:space="preserve"> </w:t>
            </w:r>
            <w:r>
              <w:t>st</w:t>
            </w:r>
            <w:r w:rsidR="003E102A">
              <w:t>oo</w:t>
            </w:r>
            <w:r>
              <w:t>ls inspected annually</w:t>
            </w:r>
            <w:r w:rsidR="00835550">
              <w:t xml:space="preserve"> by competent </w:t>
            </w:r>
            <w:proofErr w:type="gramStart"/>
            <w:r w:rsidR="00835550">
              <w:t>staff</w:t>
            </w:r>
            <w:proofErr w:type="gramEnd"/>
          </w:p>
          <w:p w14:paraId="13FFCADA" w14:textId="256F85B8" w:rsidR="003E102A" w:rsidRDefault="003E102A" w:rsidP="003E102A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Items stored on shelving not accessible or identifiable without extended reaching or stretching to be off limits for storage without a clear SSOW and/or mechanical aids.</w:t>
            </w:r>
          </w:p>
        </w:tc>
        <w:tc>
          <w:tcPr>
            <w:tcW w:w="411" w:type="pct"/>
            <w:shd w:val="clear" w:color="auto" w:fill="FFC000"/>
          </w:tcPr>
          <w:p w14:paraId="5715D32D" w14:textId="588DB1EB" w:rsidR="00BA4B12" w:rsidRDefault="00835550" w:rsidP="00E90827">
            <w:pPr>
              <w:spacing w:before="120" w:after="120"/>
              <w:jc w:val="center"/>
            </w:pPr>
            <w:r>
              <w:t>Unlikely x Major = Medium</w:t>
            </w:r>
          </w:p>
        </w:tc>
        <w:tc>
          <w:tcPr>
            <w:tcW w:w="766" w:type="pct"/>
          </w:tcPr>
          <w:p w14:paraId="7B535836" w14:textId="77777777" w:rsidR="00BA4B12" w:rsidRPr="00E90827" w:rsidRDefault="00BA4B12" w:rsidP="006F7483">
            <w:pPr>
              <w:spacing w:before="120" w:after="120"/>
            </w:pPr>
          </w:p>
        </w:tc>
        <w:tc>
          <w:tcPr>
            <w:tcW w:w="395" w:type="pct"/>
          </w:tcPr>
          <w:p w14:paraId="476BFAEA" w14:textId="77777777" w:rsidR="00BA4B12" w:rsidRPr="00E90827" w:rsidRDefault="00BA4B12" w:rsidP="00E90827">
            <w:pPr>
              <w:spacing w:before="120" w:after="120"/>
              <w:jc w:val="center"/>
            </w:pPr>
          </w:p>
        </w:tc>
        <w:tc>
          <w:tcPr>
            <w:tcW w:w="394" w:type="pct"/>
          </w:tcPr>
          <w:p w14:paraId="1485C10C" w14:textId="77777777" w:rsidR="00BA4B12" w:rsidRPr="00E90827" w:rsidRDefault="00BA4B12" w:rsidP="00E90827">
            <w:pPr>
              <w:spacing w:before="120" w:after="120"/>
              <w:jc w:val="center"/>
            </w:pPr>
          </w:p>
        </w:tc>
        <w:tc>
          <w:tcPr>
            <w:tcW w:w="529" w:type="pct"/>
          </w:tcPr>
          <w:p w14:paraId="6A4B9B42" w14:textId="77777777" w:rsidR="00BA4B12" w:rsidRPr="00E90827" w:rsidRDefault="00BA4B12" w:rsidP="006F7483">
            <w:pPr>
              <w:spacing w:before="120" w:after="120"/>
            </w:pPr>
          </w:p>
        </w:tc>
      </w:tr>
      <w:tr w:rsidR="004710AA" w:rsidRPr="003916DA" w14:paraId="357EBC95" w14:textId="77777777" w:rsidTr="004710AA">
        <w:tc>
          <w:tcPr>
            <w:tcW w:w="738" w:type="pct"/>
          </w:tcPr>
          <w:p w14:paraId="35B5BAFE" w14:textId="77777777" w:rsidR="00037E20" w:rsidRPr="001A34C0" w:rsidRDefault="001A34C0" w:rsidP="006F7483">
            <w:pPr>
              <w:spacing w:before="120" w:after="12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H</w:t>
            </w:r>
            <w:r>
              <w:rPr>
                <w:rStyle w:val="Strong"/>
              </w:rPr>
              <w:t xml:space="preserve"> </w:t>
            </w:r>
            <w:r w:rsidRPr="001A34C0">
              <w:rPr>
                <w:rStyle w:val="Strong"/>
                <w:b w:val="0"/>
                <w:bCs w:val="0"/>
              </w:rPr>
              <w:t>– Heavy items</w:t>
            </w:r>
          </w:p>
          <w:p w14:paraId="79CB4BF3" w14:textId="77777777" w:rsidR="001A34C0" w:rsidRPr="001A34C0" w:rsidRDefault="001A34C0" w:rsidP="006F7483">
            <w:pPr>
              <w:spacing w:before="120" w:after="120"/>
              <w:rPr>
                <w:rStyle w:val="Strong"/>
                <w:b w:val="0"/>
                <w:bCs w:val="0"/>
              </w:rPr>
            </w:pPr>
            <w:r w:rsidRPr="001A34C0">
              <w:rPr>
                <w:rStyle w:val="Strong"/>
                <w:b w:val="0"/>
                <w:bCs w:val="0"/>
              </w:rPr>
              <w:t>HE – Heavy items stored on unsuitable racking</w:t>
            </w:r>
          </w:p>
          <w:p w14:paraId="2A187FAE" w14:textId="41B5B581" w:rsidR="001A34C0" w:rsidRPr="00412243" w:rsidRDefault="001A34C0" w:rsidP="006F7483">
            <w:pPr>
              <w:spacing w:before="120" w:after="120"/>
              <w:rPr>
                <w:rStyle w:val="Strong"/>
                <w:b w:val="0"/>
              </w:rPr>
            </w:pPr>
            <w:r w:rsidRPr="001A34C0">
              <w:rPr>
                <w:rStyle w:val="Strong"/>
                <w:b w:val="0"/>
                <w:bCs w:val="0"/>
              </w:rPr>
              <w:t>C – Racking collapsing causing crush injuries</w:t>
            </w:r>
          </w:p>
        </w:tc>
        <w:tc>
          <w:tcPr>
            <w:tcW w:w="455" w:type="pct"/>
          </w:tcPr>
          <w:p w14:paraId="08E70B7C" w14:textId="4A9295F3" w:rsidR="00037E20" w:rsidRPr="00E90827" w:rsidRDefault="006B1606" w:rsidP="006F7483">
            <w:pPr>
              <w:spacing w:before="120" w:after="120"/>
            </w:pPr>
            <w:r>
              <w:t>Staff, Students and Contractors</w:t>
            </w:r>
          </w:p>
        </w:tc>
        <w:tc>
          <w:tcPr>
            <w:tcW w:w="1311" w:type="pct"/>
          </w:tcPr>
          <w:p w14:paraId="37D800A1" w14:textId="5C351C6A" w:rsidR="003E102A" w:rsidRDefault="003E102A" w:rsidP="002C6D2B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SWL clearly identified on all shelves and loading is not exceeded.</w:t>
            </w:r>
          </w:p>
          <w:p w14:paraId="4E15324B" w14:textId="2EAB2FBD" w:rsidR="003E102A" w:rsidRDefault="002C6D2B" w:rsidP="003E102A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Racking fixed to floor</w:t>
            </w:r>
            <w:r w:rsidR="003E102A">
              <w:t xml:space="preserve"> – and wall</w:t>
            </w:r>
          </w:p>
          <w:p w14:paraId="103714CB" w14:textId="77777777" w:rsidR="002C6D2B" w:rsidRDefault="002C6D2B" w:rsidP="002C6D2B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Heavy items not to be stored on high shelving so that it is not top-heavy and unstable</w:t>
            </w:r>
          </w:p>
          <w:p w14:paraId="26321CB1" w14:textId="77777777" w:rsidR="002C6D2B" w:rsidRDefault="002C6D2B" w:rsidP="002C6D2B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lastRenderedPageBreak/>
              <w:t>If member of staff spots any damaged racking, to be reported to appropriate person</w:t>
            </w:r>
          </w:p>
          <w:p w14:paraId="22B0534A" w14:textId="370D5203" w:rsidR="006B1606" w:rsidRPr="00E90827" w:rsidRDefault="006B1606" w:rsidP="006B1606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SEMA inspection carried out by qualified inspector on racking to ensure it is in good condition and suitable for the items stored on racking</w:t>
            </w:r>
          </w:p>
        </w:tc>
        <w:tc>
          <w:tcPr>
            <w:tcW w:w="411" w:type="pct"/>
            <w:shd w:val="clear" w:color="auto" w:fill="FFC000"/>
          </w:tcPr>
          <w:p w14:paraId="6177FD0C" w14:textId="1807237B" w:rsidR="00037E20" w:rsidRPr="00E90827" w:rsidRDefault="006F1A83" w:rsidP="00E90827">
            <w:pPr>
              <w:spacing w:before="120" w:after="120"/>
              <w:jc w:val="center"/>
            </w:pPr>
            <w:r>
              <w:lastRenderedPageBreak/>
              <w:t>Unlikely x Major = Medium</w:t>
            </w:r>
          </w:p>
        </w:tc>
        <w:tc>
          <w:tcPr>
            <w:tcW w:w="766" w:type="pct"/>
          </w:tcPr>
          <w:p w14:paraId="533393EB" w14:textId="77777777" w:rsidR="00037E20" w:rsidRPr="00E90827" w:rsidRDefault="00037E20" w:rsidP="006F7483">
            <w:pPr>
              <w:spacing w:before="120" w:after="120"/>
            </w:pPr>
          </w:p>
        </w:tc>
        <w:tc>
          <w:tcPr>
            <w:tcW w:w="395" w:type="pct"/>
          </w:tcPr>
          <w:p w14:paraId="7CBE810C" w14:textId="77777777" w:rsidR="00037E20" w:rsidRPr="00E90827" w:rsidRDefault="00037E20" w:rsidP="00E90827">
            <w:pPr>
              <w:spacing w:before="120" w:after="120"/>
              <w:jc w:val="center"/>
            </w:pPr>
          </w:p>
        </w:tc>
        <w:tc>
          <w:tcPr>
            <w:tcW w:w="394" w:type="pct"/>
          </w:tcPr>
          <w:p w14:paraId="3369B208" w14:textId="77777777" w:rsidR="00037E20" w:rsidRPr="00E90827" w:rsidRDefault="00037E20" w:rsidP="00E90827">
            <w:pPr>
              <w:spacing w:before="120" w:after="120"/>
              <w:jc w:val="center"/>
            </w:pPr>
          </w:p>
        </w:tc>
        <w:tc>
          <w:tcPr>
            <w:tcW w:w="529" w:type="pct"/>
          </w:tcPr>
          <w:p w14:paraId="78DF9C5E" w14:textId="77777777" w:rsidR="00037E20" w:rsidRPr="00E90827" w:rsidRDefault="00037E20" w:rsidP="006F7483">
            <w:pPr>
              <w:spacing w:before="120" w:after="120"/>
            </w:pPr>
          </w:p>
        </w:tc>
      </w:tr>
      <w:tr w:rsidR="004710AA" w:rsidRPr="003916DA" w14:paraId="51747BC3" w14:textId="77777777" w:rsidTr="004710AA">
        <w:tc>
          <w:tcPr>
            <w:tcW w:w="738" w:type="pct"/>
          </w:tcPr>
          <w:p w14:paraId="68A3CC90" w14:textId="77777777" w:rsidR="00DC08ED" w:rsidRDefault="00DC08ED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 – Chemical spillage</w:t>
            </w:r>
          </w:p>
          <w:p w14:paraId="02D61D87" w14:textId="77777777" w:rsidR="00DC08ED" w:rsidRDefault="00DC08ED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HE </w:t>
            </w:r>
            <w:r w:rsidR="00853E80">
              <w:rPr>
                <w:rStyle w:val="Strong"/>
                <w:b w:val="0"/>
              </w:rPr>
              <w:t>–</w:t>
            </w:r>
            <w:r>
              <w:rPr>
                <w:rStyle w:val="Strong"/>
                <w:b w:val="0"/>
              </w:rPr>
              <w:t xml:space="preserve"> Chemicals</w:t>
            </w:r>
            <w:r w:rsidR="00853E80">
              <w:rPr>
                <w:rStyle w:val="Strong"/>
                <w:b w:val="0"/>
              </w:rPr>
              <w:t xml:space="preserve"> producing toxic fumes</w:t>
            </w:r>
          </w:p>
          <w:p w14:paraId="315B2A95" w14:textId="7F4E9201" w:rsidR="00853E80" w:rsidRDefault="00853E80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 - Asphyxiation</w:t>
            </w:r>
          </w:p>
        </w:tc>
        <w:tc>
          <w:tcPr>
            <w:tcW w:w="455" w:type="pct"/>
          </w:tcPr>
          <w:p w14:paraId="117D664E" w14:textId="605C99D8" w:rsidR="00DC08ED" w:rsidRPr="00E90827" w:rsidRDefault="008D4215" w:rsidP="006F7483">
            <w:pPr>
              <w:spacing w:before="120" w:after="120"/>
            </w:pPr>
            <w:r>
              <w:t>Staff, students and contractors</w:t>
            </w:r>
          </w:p>
        </w:tc>
        <w:tc>
          <w:tcPr>
            <w:tcW w:w="1311" w:type="pct"/>
          </w:tcPr>
          <w:p w14:paraId="16A780A6" w14:textId="1D2954C1" w:rsidR="008223CA" w:rsidRDefault="008223CA" w:rsidP="008223CA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 xml:space="preserve">Procedure in place in the event of a chemical spillage and the process to </w:t>
            </w:r>
            <w:r w:rsidR="008D07C6">
              <w:t xml:space="preserve">be </w:t>
            </w:r>
            <w:r>
              <w:t>follow</w:t>
            </w:r>
            <w:r w:rsidR="008D07C6">
              <w:t>ed</w:t>
            </w:r>
          </w:p>
          <w:p w14:paraId="7F86E73D" w14:textId="77777777" w:rsidR="008223CA" w:rsidRDefault="008223CA" w:rsidP="008223CA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COSHH assessments available detailing how chemical spillages in that area should be managed</w:t>
            </w:r>
          </w:p>
          <w:p w14:paraId="2BF7BA23" w14:textId="77777777" w:rsidR="00DC08ED" w:rsidRDefault="008223CA" w:rsidP="008223CA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Ventilation in place to ventilate toxic fumes from the room</w:t>
            </w:r>
          </w:p>
          <w:p w14:paraId="018068AF" w14:textId="60B9001A" w:rsidR="0023479F" w:rsidRDefault="0023479F" w:rsidP="008223CA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LEV regularly serviced</w:t>
            </w:r>
            <w:r w:rsidR="008D07C6">
              <w:t>. Interim checks in place to</w:t>
            </w:r>
            <w:r>
              <w:t xml:space="preserve"> ensure </w:t>
            </w:r>
            <w:r w:rsidR="008D07C6">
              <w:t>LEV</w:t>
            </w:r>
            <w:r>
              <w:t xml:space="preserve"> works </w:t>
            </w:r>
            <w:proofErr w:type="gramStart"/>
            <w:r>
              <w:t>effectively</w:t>
            </w:r>
            <w:proofErr w:type="gramEnd"/>
          </w:p>
          <w:p w14:paraId="46D8719A" w14:textId="77777777" w:rsidR="008223CA" w:rsidRDefault="008223CA" w:rsidP="008223CA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Chemical storage managed so that chemicals that could react with another chemical and produce toxic fumes are not stored near one another, as stated on COSHH assessment</w:t>
            </w:r>
          </w:p>
          <w:p w14:paraId="59F8BE4C" w14:textId="5073A4A7" w:rsidR="0023479F" w:rsidRDefault="0023479F" w:rsidP="008223CA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Chemicals past their expiration date removed</w:t>
            </w:r>
          </w:p>
          <w:p w14:paraId="73D4CC0D" w14:textId="77777777" w:rsidR="008223CA" w:rsidRDefault="008223CA" w:rsidP="008223CA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Chemicals stored at temperature stated on COSHH assessment</w:t>
            </w:r>
          </w:p>
          <w:p w14:paraId="0943B971" w14:textId="77777777" w:rsidR="00E666E3" w:rsidRDefault="008D07C6" w:rsidP="008223CA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lastRenderedPageBreak/>
              <w:t>Substances without clear and legible labels are removed</w:t>
            </w:r>
          </w:p>
          <w:p w14:paraId="12CA7F74" w14:textId="14A3E0FB" w:rsidR="008D07C6" w:rsidRPr="00E90827" w:rsidRDefault="008D07C6" w:rsidP="0063375F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Where containers become damaged or there is potential for leakage /seepage items are removed for disposal</w:t>
            </w:r>
          </w:p>
        </w:tc>
        <w:tc>
          <w:tcPr>
            <w:tcW w:w="411" w:type="pct"/>
            <w:shd w:val="clear" w:color="auto" w:fill="FFC000"/>
          </w:tcPr>
          <w:p w14:paraId="7D8832B2" w14:textId="4E37631B" w:rsidR="00DC08ED" w:rsidRPr="00E90827" w:rsidRDefault="006F1A83" w:rsidP="00E90827">
            <w:pPr>
              <w:spacing w:before="120" w:after="120"/>
              <w:jc w:val="center"/>
            </w:pPr>
            <w:r>
              <w:lastRenderedPageBreak/>
              <w:t xml:space="preserve">Very unlikely x Catastrophic = </w:t>
            </w:r>
            <w:r w:rsidR="004710AA">
              <w:t>Medium</w:t>
            </w:r>
          </w:p>
        </w:tc>
        <w:tc>
          <w:tcPr>
            <w:tcW w:w="766" w:type="pct"/>
          </w:tcPr>
          <w:p w14:paraId="6D0DC149" w14:textId="77777777" w:rsidR="00DC08ED" w:rsidRPr="00E90827" w:rsidRDefault="00DC08ED" w:rsidP="006F7483">
            <w:pPr>
              <w:spacing w:before="120" w:after="120"/>
            </w:pPr>
          </w:p>
        </w:tc>
        <w:tc>
          <w:tcPr>
            <w:tcW w:w="395" w:type="pct"/>
          </w:tcPr>
          <w:p w14:paraId="43BCF9A4" w14:textId="77777777" w:rsidR="00DC08ED" w:rsidRPr="00E90827" w:rsidRDefault="00DC08ED" w:rsidP="00E90827">
            <w:pPr>
              <w:spacing w:before="120" w:after="120"/>
              <w:jc w:val="center"/>
            </w:pPr>
          </w:p>
        </w:tc>
        <w:tc>
          <w:tcPr>
            <w:tcW w:w="394" w:type="pct"/>
          </w:tcPr>
          <w:p w14:paraId="43C1E69D" w14:textId="77777777" w:rsidR="00DC08ED" w:rsidRPr="00E90827" w:rsidRDefault="00DC08ED" w:rsidP="00E90827">
            <w:pPr>
              <w:spacing w:before="120" w:after="120"/>
              <w:jc w:val="center"/>
            </w:pPr>
          </w:p>
        </w:tc>
        <w:tc>
          <w:tcPr>
            <w:tcW w:w="529" w:type="pct"/>
          </w:tcPr>
          <w:p w14:paraId="00B8ED4E" w14:textId="77777777" w:rsidR="00DC08ED" w:rsidRPr="00E90827" w:rsidRDefault="00DC08ED" w:rsidP="006F7483">
            <w:pPr>
              <w:spacing w:before="120" w:after="120"/>
            </w:pPr>
          </w:p>
        </w:tc>
      </w:tr>
      <w:tr w:rsidR="004710AA" w:rsidRPr="003916DA" w14:paraId="027FF19D" w14:textId="77777777" w:rsidTr="004710AA">
        <w:tc>
          <w:tcPr>
            <w:tcW w:w="738" w:type="pct"/>
          </w:tcPr>
          <w:p w14:paraId="16BD199D" w14:textId="77777777" w:rsidR="00DB1A68" w:rsidRDefault="00DB1A68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 – Chemical spillage</w:t>
            </w:r>
          </w:p>
          <w:p w14:paraId="0521597E" w14:textId="77777777" w:rsidR="00DB1A68" w:rsidRDefault="00DB1A68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HE – Spillage producing wet floor</w:t>
            </w:r>
          </w:p>
          <w:p w14:paraId="27E65E7A" w14:textId="44BFC460" w:rsidR="00DB1A68" w:rsidRDefault="00DB1A68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 – Slip or fall on wet floor causing cut or possible fracture</w:t>
            </w:r>
          </w:p>
        </w:tc>
        <w:tc>
          <w:tcPr>
            <w:tcW w:w="455" w:type="pct"/>
          </w:tcPr>
          <w:p w14:paraId="4BC33BA5" w14:textId="3CCDBA12" w:rsidR="00DB1A68" w:rsidRPr="00E90827" w:rsidRDefault="006B1606" w:rsidP="006F7483">
            <w:pPr>
              <w:spacing w:before="120" w:after="120"/>
            </w:pPr>
            <w:r>
              <w:t>Staff, Students and Contractors</w:t>
            </w:r>
          </w:p>
        </w:tc>
        <w:tc>
          <w:tcPr>
            <w:tcW w:w="1311" w:type="pct"/>
          </w:tcPr>
          <w:p w14:paraId="26987EE9" w14:textId="6031C810" w:rsidR="008223CA" w:rsidRDefault="008223CA" w:rsidP="00883AE0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Procedure in place in the event of a chemical spillage and the process to follow</w:t>
            </w:r>
          </w:p>
          <w:p w14:paraId="07E5CC2D" w14:textId="5AA9290B" w:rsidR="00DB1A68" w:rsidRDefault="00883AE0" w:rsidP="00883AE0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proofErr w:type="gramStart"/>
            <w:r>
              <w:t>Store room</w:t>
            </w:r>
            <w:proofErr w:type="gramEnd"/>
            <w:r>
              <w:t xml:space="preserve"> is bunded to ensure chemical spillage does not leave store room</w:t>
            </w:r>
          </w:p>
          <w:p w14:paraId="196DA2D9" w14:textId="102ACC8C" w:rsidR="0063375F" w:rsidRDefault="0063375F" w:rsidP="00883AE0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Substances are bunded to ensure containment of leaks with quantity or profile requirement identified in COSHH assessment (with capacity to contain 110% of contents).</w:t>
            </w:r>
          </w:p>
          <w:p w14:paraId="557E01D2" w14:textId="46F8C523" w:rsidR="00E33F17" w:rsidRDefault="00E33F17" w:rsidP="00883AE0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 xml:space="preserve">Bunding </w:t>
            </w:r>
            <w:r w:rsidR="00E666E3">
              <w:t xml:space="preserve">trays regularly inspected to ensure in good condition </w:t>
            </w:r>
          </w:p>
          <w:p w14:paraId="7174F36E" w14:textId="77777777" w:rsidR="00883AE0" w:rsidRDefault="003E784C" w:rsidP="00883AE0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Spill kit available to help clean up any chemical spillage</w:t>
            </w:r>
          </w:p>
          <w:p w14:paraId="4C54255C" w14:textId="77777777" w:rsidR="003E784C" w:rsidRDefault="003E784C" w:rsidP="00883AE0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Drainage in place to help ensure chemical spillage does not overflow</w:t>
            </w:r>
          </w:p>
          <w:p w14:paraId="007F9066" w14:textId="27CD5000" w:rsidR="0023479F" w:rsidRDefault="0023479F" w:rsidP="00883AE0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Chemical waste disposed of at regular intervals by contracted hazardous waste company</w:t>
            </w:r>
          </w:p>
          <w:p w14:paraId="586E0652" w14:textId="77777777" w:rsidR="003E784C" w:rsidRDefault="003E784C" w:rsidP="00883AE0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lastRenderedPageBreak/>
              <w:t>COSHH assessments available detailing how chemical spillages in that area should be managed</w:t>
            </w:r>
          </w:p>
          <w:p w14:paraId="0F8473D0" w14:textId="77777777" w:rsidR="003E784C" w:rsidRDefault="003E784C" w:rsidP="00883AE0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Training in place for staff members who would be needed in potential cleaning up</w:t>
            </w:r>
          </w:p>
          <w:p w14:paraId="1BD4142B" w14:textId="675BB792" w:rsidR="000B45D3" w:rsidRPr="00E90827" w:rsidRDefault="000B45D3" w:rsidP="00883AE0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Security trained in First Aid</w:t>
            </w:r>
          </w:p>
        </w:tc>
        <w:tc>
          <w:tcPr>
            <w:tcW w:w="411" w:type="pct"/>
            <w:shd w:val="clear" w:color="auto" w:fill="92D050"/>
          </w:tcPr>
          <w:p w14:paraId="32166653" w14:textId="40FE00FB" w:rsidR="00DB1A68" w:rsidRPr="00E90827" w:rsidRDefault="004710AA" w:rsidP="00E90827">
            <w:pPr>
              <w:spacing w:before="120" w:after="120"/>
              <w:jc w:val="center"/>
            </w:pPr>
            <w:r>
              <w:lastRenderedPageBreak/>
              <w:t>Very unlikely x Major = Low</w:t>
            </w:r>
          </w:p>
        </w:tc>
        <w:tc>
          <w:tcPr>
            <w:tcW w:w="766" w:type="pct"/>
          </w:tcPr>
          <w:p w14:paraId="20605A8B" w14:textId="77777777" w:rsidR="00DB1A68" w:rsidRPr="00E90827" w:rsidRDefault="00DB1A68" w:rsidP="006F7483">
            <w:pPr>
              <w:spacing w:before="120" w:after="120"/>
            </w:pPr>
          </w:p>
        </w:tc>
        <w:tc>
          <w:tcPr>
            <w:tcW w:w="395" w:type="pct"/>
          </w:tcPr>
          <w:p w14:paraId="2B7E388D" w14:textId="77777777" w:rsidR="00DB1A68" w:rsidRPr="00E90827" w:rsidRDefault="00DB1A68" w:rsidP="00E90827">
            <w:pPr>
              <w:spacing w:before="120" w:after="120"/>
              <w:jc w:val="center"/>
            </w:pPr>
          </w:p>
        </w:tc>
        <w:tc>
          <w:tcPr>
            <w:tcW w:w="394" w:type="pct"/>
          </w:tcPr>
          <w:p w14:paraId="244C3997" w14:textId="77777777" w:rsidR="00DB1A68" w:rsidRPr="00E90827" w:rsidRDefault="00DB1A68" w:rsidP="00E90827">
            <w:pPr>
              <w:spacing w:before="120" w:after="120"/>
              <w:jc w:val="center"/>
            </w:pPr>
          </w:p>
        </w:tc>
        <w:tc>
          <w:tcPr>
            <w:tcW w:w="529" w:type="pct"/>
          </w:tcPr>
          <w:p w14:paraId="1B4A0A75" w14:textId="77777777" w:rsidR="00DB1A68" w:rsidRPr="00E90827" w:rsidRDefault="00DB1A68" w:rsidP="006F7483">
            <w:pPr>
              <w:spacing w:before="120" w:after="120"/>
            </w:pPr>
          </w:p>
        </w:tc>
      </w:tr>
      <w:tr w:rsidR="004710AA" w:rsidRPr="003916DA" w14:paraId="588630A6" w14:textId="77777777" w:rsidTr="004710AA">
        <w:tc>
          <w:tcPr>
            <w:tcW w:w="738" w:type="pct"/>
          </w:tcPr>
          <w:p w14:paraId="16D9E6D5" w14:textId="77777777" w:rsidR="00037E20" w:rsidRDefault="00037E20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 – Combustibles items</w:t>
            </w:r>
          </w:p>
          <w:p w14:paraId="4DC0B658" w14:textId="77777777" w:rsidR="000A04E0" w:rsidRDefault="00037E20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HE </w:t>
            </w:r>
            <w:r w:rsidR="000A04E0">
              <w:rPr>
                <w:rStyle w:val="Strong"/>
                <w:b w:val="0"/>
              </w:rPr>
              <w:t>–</w:t>
            </w:r>
            <w:r>
              <w:rPr>
                <w:rStyle w:val="Strong"/>
                <w:b w:val="0"/>
              </w:rPr>
              <w:t xml:space="preserve"> </w:t>
            </w:r>
            <w:r w:rsidR="000A04E0">
              <w:rPr>
                <w:rStyle w:val="Strong"/>
                <w:b w:val="0"/>
              </w:rPr>
              <w:t>Ignition of combustible items</w:t>
            </w:r>
          </w:p>
          <w:p w14:paraId="1690DE06" w14:textId="0ACCA2F9" w:rsidR="00037E20" w:rsidRPr="00E90827" w:rsidRDefault="000A04E0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 - Fire</w:t>
            </w:r>
          </w:p>
        </w:tc>
        <w:tc>
          <w:tcPr>
            <w:tcW w:w="455" w:type="pct"/>
          </w:tcPr>
          <w:p w14:paraId="4EA23F35" w14:textId="22FDD0F3" w:rsidR="00037E20" w:rsidRPr="00E90827" w:rsidRDefault="006B1606" w:rsidP="006F7483">
            <w:pPr>
              <w:spacing w:before="120" w:after="120"/>
            </w:pPr>
            <w:r>
              <w:t>Staff, Students and Contractors</w:t>
            </w:r>
          </w:p>
        </w:tc>
        <w:tc>
          <w:tcPr>
            <w:tcW w:w="1311" w:type="pct"/>
          </w:tcPr>
          <w:p w14:paraId="043A5E2F" w14:textId="77777777" w:rsidR="00037E20" w:rsidRDefault="008D4215" w:rsidP="008D421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proofErr w:type="gramStart"/>
            <w:r>
              <w:t>Store room</w:t>
            </w:r>
            <w:proofErr w:type="gramEnd"/>
            <w:r>
              <w:t xml:space="preserve"> kept tidy to ensure there is not an accumulation of combustible items</w:t>
            </w:r>
          </w:p>
          <w:p w14:paraId="7872FA51" w14:textId="6DFAC76F" w:rsidR="006E16A5" w:rsidRDefault="008D4215" w:rsidP="006E16A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PAT testing </w:t>
            </w:r>
            <w:r w:rsidR="00883AE0">
              <w:t xml:space="preserve">routinely carried out to ensure electrical items are safe </w:t>
            </w:r>
            <w:r w:rsidR="00EE5746">
              <w:t xml:space="preserve">and </w:t>
            </w:r>
            <w:r w:rsidR="00883AE0">
              <w:t>do not provide ignition source</w:t>
            </w:r>
            <w:r w:rsidR="006E16A5">
              <w:t xml:space="preserve"> including chargers for electronic items.</w:t>
            </w:r>
          </w:p>
          <w:p w14:paraId="11379F09" w14:textId="30D629A4" w:rsidR="006E16A5" w:rsidRDefault="006E16A5" w:rsidP="006E16A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Charging of equipment should not take place in a storeroom</w:t>
            </w:r>
          </w:p>
          <w:p w14:paraId="71DF26CD" w14:textId="3D195DFE" w:rsidR="00C74629" w:rsidRDefault="00C74629" w:rsidP="006E16A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Fixed wire testing carried out by Estates</w:t>
            </w:r>
          </w:p>
          <w:p w14:paraId="013DDDF7" w14:textId="77777777" w:rsidR="00883AE0" w:rsidRDefault="00883AE0" w:rsidP="008D421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Combustible items not stored near ignition sources such as </w:t>
            </w:r>
            <w:proofErr w:type="gramStart"/>
            <w:r>
              <w:t>lights</w:t>
            </w:r>
            <w:proofErr w:type="gramEnd"/>
          </w:p>
          <w:p w14:paraId="7F372B0D" w14:textId="4159F1C7" w:rsidR="000B45D3" w:rsidRDefault="00883AE0" w:rsidP="000B45D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Chemical inventory in place to ensure there is not a </w:t>
            </w:r>
            <w:proofErr w:type="spellStart"/>
            <w:r>
              <w:t>build up</w:t>
            </w:r>
            <w:proofErr w:type="spellEnd"/>
            <w:r>
              <w:t xml:space="preserve"> of chemicals </w:t>
            </w:r>
          </w:p>
          <w:p w14:paraId="5360E4A4" w14:textId="77777777" w:rsidR="00883AE0" w:rsidRDefault="00883AE0" w:rsidP="008D421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Chemicals stored according to their COSHH assessment</w:t>
            </w:r>
          </w:p>
          <w:p w14:paraId="4F8D130C" w14:textId="77777777" w:rsidR="000B45D3" w:rsidRDefault="000B45D3" w:rsidP="008D421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Fire detection in vicinity to detect fire and raise alarm</w:t>
            </w:r>
          </w:p>
          <w:p w14:paraId="7D05C9E5" w14:textId="77777777" w:rsidR="000B45D3" w:rsidRDefault="000B45D3" w:rsidP="008D421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lastRenderedPageBreak/>
              <w:t>Security trained in use of fire extinguishers</w:t>
            </w:r>
          </w:p>
          <w:p w14:paraId="752CB8B9" w14:textId="52CAC57A" w:rsidR="00E666E3" w:rsidRDefault="00E666E3" w:rsidP="00E666E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Lithium batteries stored in dry, well-ventilated space</w:t>
            </w:r>
            <w:r w:rsidR="006E16A5">
              <w:t>. Lithium battery</w:t>
            </w:r>
            <w:r>
              <w:t xml:space="preserve"> charg</w:t>
            </w:r>
            <w:r w:rsidR="006E16A5">
              <w:t>ing should not take place in a storeroom and</w:t>
            </w:r>
            <w:r>
              <w:t xml:space="preserve"> not near or on combustible </w:t>
            </w:r>
            <w:proofErr w:type="gramStart"/>
            <w:r>
              <w:t>surfaces</w:t>
            </w:r>
            <w:proofErr w:type="gramEnd"/>
          </w:p>
          <w:p w14:paraId="415FA27B" w14:textId="7BBD766C" w:rsidR="00BA4B12" w:rsidRPr="00E90827" w:rsidRDefault="00BA4B12" w:rsidP="00E666E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DSEAR assessment completed for substances that meet DSEAR regulations and present flammable and/or explosive risk</w:t>
            </w:r>
          </w:p>
        </w:tc>
        <w:tc>
          <w:tcPr>
            <w:tcW w:w="411" w:type="pct"/>
            <w:shd w:val="clear" w:color="auto" w:fill="FFC000"/>
          </w:tcPr>
          <w:p w14:paraId="0CE91471" w14:textId="2BFFC2F3" w:rsidR="00037E20" w:rsidRPr="00E90827" w:rsidRDefault="004710AA" w:rsidP="00E90827">
            <w:pPr>
              <w:spacing w:before="120" w:after="120"/>
              <w:jc w:val="center"/>
            </w:pPr>
            <w:r>
              <w:lastRenderedPageBreak/>
              <w:t>Very unlikely x Catastrophic = Medium</w:t>
            </w:r>
          </w:p>
        </w:tc>
        <w:tc>
          <w:tcPr>
            <w:tcW w:w="766" w:type="pct"/>
          </w:tcPr>
          <w:p w14:paraId="64C1D8AA" w14:textId="77777777" w:rsidR="00037E20" w:rsidRPr="00E90827" w:rsidRDefault="00037E20" w:rsidP="006F7483">
            <w:pPr>
              <w:spacing w:before="120" w:after="120"/>
            </w:pPr>
          </w:p>
        </w:tc>
        <w:tc>
          <w:tcPr>
            <w:tcW w:w="395" w:type="pct"/>
          </w:tcPr>
          <w:p w14:paraId="7BA1D2A3" w14:textId="77777777" w:rsidR="00037E20" w:rsidRPr="00E90827" w:rsidRDefault="00037E20" w:rsidP="00E90827">
            <w:pPr>
              <w:spacing w:before="120" w:after="120"/>
              <w:jc w:val="center"/>
            </w:pPr>
          </w:p>
        </w:tc>
        <w:tc>
          <w:tcPr>
            <w:tcW w:w="394" w:type="pct"/>
          </w:tcPr>
          <w:p w14:paraId="0A1AB21A" w14:textId="77777777" w:rsidR="00037E20" w:rsidRPr="00E90827" w:rsidRDefault="00037E20" w:rsidP="00E90827">
            <w:pPr>
              <w:spacing w:before="120" w:after="120"/>
              <w:jc w:val="center"/>
            </w:pPr>
          </w:p>
        </w:tc>
        <w:tc>
          <w:tcPr>
            <w:tcW w:w="529" w:type="pct"/>
          </w:tcPr>
          <w:p w14:paraId="3D2F3EBA" w14:textId="77777777" w:rsidR="00037E20" w:rsidRPr="00E90827" w:rsidRDefault="00037E20" w:rsidP="006F7483">
            <w:pPr>
              <w:spacing w:before="120" w:after="120"/>
            </w:pPr>
          </w:p>
        </w:tc>
      </w:tr>
      <w:tr w:rsidR="004710AA" w:rsidRPr="003916DA" w14:paraId="178447AE" w14:textId="77777777" w:rsidTr="004710AA">
        <w:tc>
          <w:tcPr>
            <w:tcW w:w="738" w:type="pct"/>
          </w:tcPr>
          <w:p w14:paraId="747237D4" w14:textId="77777777" w:rsidR="00037E20" w:rsidRDefault="00853E80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H – </w:t>
            </w:r>
            <w:r w:rsidR="00037E20">
              <w:rPr>
                <w:rStyle w:val="Strong"/>
                <w:b w:val="0"/>
              </w:rPr>
              <w:t>Machinery</w:t>
            </w:r>
          </w:p>
          <w:p w14:paraId="2DA17A0C" w14:textId="4C8D32E9" w:rsidR="00853E80" w:rsidRPr="000B45D3" w:rsidRDefault="00853E80" w:rsidP="006F7483">
            <w:pPr>
              <w:spacing w:before="120" w:after="12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HE – Struck by machinery</w:t>
            </w:r>
            <w:r w:rsidR="000B45D3">
              <w:rPr>
                <w:rStyle w:val="Strong"/>
                <w:b w:val="0"/>
              </w:rPr>
              <w:t xml:space="preserve"> </w:t>
            </w:r>
            <w:r w:rsidR="000B45D3" w:rsidRPr="000B45D3">
              <w:rPr>
                <w:rStyle w:val="Strong"/>
                <w:b w:val="0"/>
                <w:bCs w:val="0"/>
              </w:rPr>
              <w:t>such as traffic</w:t>
            </w:r>
          </w:p>
          <w:p w14:paraId="651CF616" w14:textId="1B1D3086" w:rsidR="00853E80" w:rsidRPr="00E90827" w:rsidRDefault="00853E80" w:rsidP="006F7483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 – Major trauma</w:t>
            </w:r>
          </w:p>
        </w:tc>
        <w:tc>
          <w:tcPr>
            <w:tcW w:w="455" w:type="pct"/>
          </w:tcPr>
          <w:p w14:paraId="23198A0D" w14:textId="53EDC25A" w:rsidR="00037E20" w:rsidRPr="00E90827" w:rsidRDefault="006B1606" w:rsidP="006F7483">
            <w:pPr>
              <w:spacing w:before="120" w:after="120"/>
            </w:pPr>
            <w:r>
              <w:t>Staff, Students and Contractors</w:t>
            </w:r>
          </w:p>
        </w:tc>
        <w:tc>
          <w:tcPr>
            <w:tcW w:w="1311" w:type="pct"/>
          </w:tcPr>
          <w:p w14:paraId="3823ACFD" w14:textId="203534E9" w:rsidR="006E16A5" w:rsidRDefault="006E16A5" w:rsidP="006E16A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Access to areas with moving machinery to be restricted to authorised personnel</w:t>
            </w:r>
          </w:p>
          <w:p w14:paraId="18F95C5F" w14:textId="66421A78" w:rsidR="006E16A5" w:rsidRDefault="006E16A5" w:rsidP="006E16A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Unauthorised access to equipment prevented e.g. removal of keys / secure ‘parking’ area</w:t>
            </w:r>
          </w:p>
          <w:p w14:paraId="6ED3E44A" w14:textId="359F3DC3" w:rsidR="00037E20" w:rsidRDefault="000B45D3" w:rsidP="000B45D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If required, staff member to guide vehicle into storage area</w:t>
            </w:r>
          </w:p>
          <w:p w14:paraId="3E649E26" w14:textId="53092DE9" w:rsidR="000B45D3" w:rsidRDefault="000B45D3" w:rsidP="000B45D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Staff using vehicles such as counterbalance</w:t>
            </w:r>
            <w:r w:rsidR="006F1A83">
              <w:t xml:space="preserve"> and</w:t>
            </w:r>
            <w:r>
              <w:t xml:space="preserve"> forklift required to have relevant qualification</w:t>
            </w:r>
          </w:p>
          <w:p w14:paraId="59AB895D" w14:textId="4806B448" w:rsidR="00BA4B12" w:rsidRDefault="00BA4B12" w:rsidP="000B45D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Training provided to staff using certain machinery. For example</w:t>
            </w:r>
            <w:r w:rsidR="006E16A5">
              <w:t xml:space="preserve">: </w:t>
            </w:r>
            <w:r>
              <w:t>use of pallet trucks</w:t>
            </w:r>
            <w:r w:rsidR="00671C12">
              <w:t xml:space="preserve"> to ensure stacking to </w:t>
            </w:r>
            <w:proofErr w:type="gramStart"/>
            <w:r w:rsidR="00671C12">
              <w:t>maintain good visibility at all times</w:t>
            </w:r>
            <w:proofErr w:type="gramEnd"/>
            <w:r w:rsidR="00671C12">
              <w:t>.</w:t>
            </w:r>
          </w:p>
          <w:p w14:paraId="2FD1446A" w14:textId="5DCC5680" w:rsidR="00C74629" w:rsidRDefault="00C74629" w:rsidP="000B45D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lastRenderedPageBreak/>
              <w:t>Vehicles undergo relevant statutory inspections to ensure they are safe to use</w:t>
            </w:r>
          </w:p>
          <w:p w14:paraId="4605B639" w14:textId="2A9976AF" w:rsidR="000B45D3" w:rsidRDefault="000B45D3" w:rsidP="000B45D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Storage flooring to be clearly marked as to where walkways </w:t>
            </w:r>
            <w:proofErr w:type="gramStart"/>
            <w:r>
              <w:t>are</w:t>
            </w:r>
            <w:proofErr w:type="gramEnd"/>
            <w:r w:rsidR="006E16A5">
              <w:t xml:space="preserve"> and these should be segregated from any equipment or vehicle traffic</w:t>
            </w:r>
          </w:p>
          <w:p w14:paraId="570B510D" w14:textId="67A16437" w:rsidR="00671C12" w:rsidRDefault="00671C12" w:rsidP="000B45D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Suitable lighting levels are maintained </w:t>
            </w:r>
          </w:p>
          <w:p w14:paraId="0BA86B3C" w14:textId="77777777" w:rsidR="000B45D3" w:rsidRDefault="000B45D3" w:rsidP="000B45D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Staff to wear high-visibility clothing when working with vehicles as well as safety boots</w:t>
            </w:r>
          </w:p>
          <w:p w14:paraId="25D1E952" w14:textId="7E06F13B" w:rsidR="000B45D3" w:rsidRPr="00E90827" w:rsidRDefault="000B45D3" w:rsidP="000B45D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Security trained in First Aid</w:t>
            </w:r>
          </w:p>
        </w:tc>
        <w:tc>
          <w:tcPr>
            <w:tcW w:w="411" w:type="pct"/>
            <w:shd w:val="clear" w:color="auto" w:fill="FFC000"/>
          </w:tcPr>
          <w:p w14:paraId="00F0A50B" w14:textId="3CA2586A" w:rsidR="00037E20" w:rsidRPr="00E90827" w:rsidRDefault="004710AA" w:rsidP="00E90827">
            <w:pPr>
              <w:spacing w:before="120" w:after="120"/>
              <w:jc w:val="center"/>
            </w:pPr>
            <w:r>
              <w:lastRenderedPageBreak/>
              <w:t>Unlikely x Major = Medium</w:t>
            </w:r>
          </w:p>
        </w:tc>
        <w:tc>
          <w:tcPr>
            <w:tcW w:w="766" w:type="pct"/>
          </w:tcPr>
          <w:p w14:paraId="2AF83797" w14:textId="77777777" w:rsidR="00037E20" w:rsidRPr="00E90827" w:rsidRDefault="00037E20" w:rsidP="006F7483">
            <w:pPr>
              <w:spacing w:before="120" w:after="120"/>
            </w:pPr>
          </w:p>
        </w:tc>
        <w:tc>
          <w:tcPr>
            <w:tcW w:w="395" w:type="pct"/>
          </w:tcPr>
          <w:p w14:paraId="0F797639" w14:textId="77777777" w:rsidR="00037E20" w:rsidRPr="00E90827" w:rsidRDefault="00037E20" w:rsidP="00E90827">
            <w:pPr>
              <w:spacing w:before="120" w:after="120"/>
              <w:jc w:val="center"/>
            </w:pPr>
          </w:p>
        </w:tc>
        <w:tc>
          <w:tcPr>
            <w:tcW w:w="394" w:type="pct"/>
          </w:tcPr>
          <w:p w14:paraId="41B929EF" w14:textId="77777777" w:rsidR="00037E20" w:rsidRPr="00E90827" w:rsidRDefault="00037E20" w:rsidP="00E90827">
            <w:pPr>
              <w:spacing w:before="120" w:after="120"/>
              <w:jc w:val="center"/>
            </w:pPr>
          </w:p>
        </w:tc>
        <w:tc>
          <w:tcPr>
            <w:tcW w:w="529" w:type="pct"/>
          </w:tcPr>
          <w:p w14:paraId="778A8103" w14:textId="77777777" w:rsidR="00037E20" w:rsidRPr="00E90827" w:rsidRDefault="00037E20" w:rsidP="006F7483">
            <w:pPr>
              <w:spacing w:before="120" w:after="120"/>
            </w:pPr>
          </w:p>
        </w:tc>
      </w:tr>
      <w:tr w:rsidR="004710AA" w:rsidRPr="003916DA" w14:paraId="30F8A3D8" w14:textId="77777777" w:rsidTr="004710AA">
        <w:tc>
          <w:tcPr>
            <w:tcW w:w="738" w:type="pct"/>
          </w:tcPr>
          <w:p w14:paraId="024179DB" w14:textId="77777777" w:rsidR="006F7483" w:rsidRDefault="00E30793" w:rsidP="006F7483">
            <w:pPr>
              <w:spacing w:before="120" w:after="120"/>
            </w:pPr>
            <w:r>
              <w:t>H – Poorly maintained electrical items</w:t>
            </w:r>
          </w:p>
          <w:p w14:paraId="7D86A9DD" w14:textId="77777777" w:rsidR="00E30793" w:rsidRDefault="00E30793" w:rsidP="006F7483">
            <w:pPr>
              <w:spacing w:before="120" w:after="120"/>
            </w:pPr>
            <w:r>
              <w:t>HE – Contact with exposed wiring or parts</w:t>
            </w:r>
          </w:p>
          <w:p w14:paraId="71BA8B20" w14:textId="08442E04" w:rsidR="00E30793" w:rsidRPr="00E90827" w:rsidRDefault="00E30793" w:rsidP="006F7483">
            <w:pPr>
              <w:spacing w:before="120" w:after="120"/>
            </w:pPr>
            <w:r>
              <w:t>C – Electric shock</w:t>
            </w:r>
          </w:p>
        </w:tc>
        <w:tc>
          <w:tcPr>
            <w:tcW w:w="455" w:type="pct"/>
          </w:tcPr>
          <w:p w14:paraId="1C784D01" w14:textId="0874E869" w:rsidR="006F7483" w:rsidRPr="00E90827" w:rsidRDefault="006B1606" w:rsidP="006F7483">
            <w:pPr>
              <w:spacing w:before="120" w:after="120"/>
            </w:pPr>
            <w:r>
              <w:t>Staff, Students and Contractors</w:t>
            </w:r>
          </w:p>
        </w:tc>
        <w:tc>
          <w:tcPr>
            <w:tcW w:w="1311" w:type="pct"/>
          </w:tcPr>
          <w:p w14:paraId="7796282C" w14:textId="53E5D0C1" w:rsidR="00C74629" w:rsidRDefault="00C74629" w:rsidP="00C7462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PAT testing </w:t>
            </w:r>
            <w:r w:rsidR="00671C12">
              <w:t xml:space="preserve">and visual inspection by operators </w:t>
            </w:r>
            <w:r>
              <w:t xml:space="preserve">routinely carried out to ensure electrical items are safe </w:t>
            </w:r>
            <w:r w:rsidR="00671C12">
              <w:t xml:space="preserve">and </w:t>
            </w:r>
            <w:r>
              <w:t>do not provide ignition source</w:t>
            </w:r>
          </w:p>
          <w:p w14:paraId="03811826" w14:textId="0040EA90" w:rsidR="006F7483" w:rsidRDefault="00C74629" w:rsidP="00C7462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If </w:t>
            </w:r>
            <w:r w:rsidR="00671C12">
              <w:t xml:space="preserve">any </w:t>
            </w:r>
            <w:r>
              <w:t xml:space="preserve">electrical item fails PAT, </w:t>
            </w:r>
            <w:r w:rsidR="00671C12">
              <w:t xml:space="preserve">it is </w:t>
            </w:r>
            <w:r w:rsidR="006E16A5">
              <w:t xml:space="preserve">clearly identified as unusable and </w:t>
            </w:r>
            <w:r>
              <w:t>removed from use</w:t>
            </w:r>
          </w:p>
          <w:p w14:paraId="5F845F08" w14:textId="073621E7" w:rsidR="00DA6375" w:rsidRDefault="00DA6375" w:rsidP="00C7462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Staff informed ‘daisy chaining’ is not allowed (plugging of one extension lead into another)</w:t>
            </w:r>
          </w:p>
          <w:p w14:paraId="16B833F0" w14:textId="77777777" w:rsidR="00C74629" w:rsidRDefault="00C74629" w:rsidP="00C7462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If staff find electrical item that is not fit for use, to be raised with HSLO</w:t>
            </w:r>
          </w:p>
          <w:p w14:paraId="095AE936" w14:textId="41CDC143" w:rsidR="00671C12" w:rsidRDefault="00671C12" w:rsidP="00671C12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lastRenderedPageBreak/>
              <w:t xml:space="preserve">Charging of equipment should take place where it can be monitored. </w:t>
            </w:r>
          </w:p>
          <w:p w14:paraId="4E2ED4F0" w14:textId="1381875F" w:rsidR="00671C12" w:rsidRPr="00E90827" w:rsidRDefault="00671C12" w:rsidP="00A23B1E">
            <w:pPr>
              <w:spacing w:before="120" w:after="120"/>
              <w:ind w:left="60"/>
            </w:pPr>
          </w:p>
        </w:tc>
        <w:tc>
          <w:tcPr>
            <w:tcW w:w="411" w:type="pct"/>
            <w:shd w:val="clear" w:color="auto" w:fill="92D050"/>
          </w:tcPr>
          <w:p w14:paraId="75ABD027" w14:textId="123E8C74" w:rsidR="006F7483" w:rsidRPr="00E90827" w:rsidRDefault="004710AA" w:rsidP="00E90827">
            <w:pPr>
              <w:spacing w:before="120" w:after="120"/>
              <w:jc w:val="center"/>
            </w:pPr>
            <w:r>
              <w:lastRenderedPageBreak/>
              <w:t>Very unlikely x Major = Low</w:t>
            </w:r>
          </w:p>
        </w:tc>
        <w:tc>
          <w:tcPr>
            <w:tcW w:w="766" w:type="pct"/>
          </w:tcPr>
          <w:p w14:paraId="5B5D679F" w14:textId="77777777" w:rsidR="006F7483" w:rsidRPr="00E90827" w:rsidRDefault="006F7483" w:rsidP="006F7483">
            <w:pPr>
              <w:spacing w:before="120" w:after="120"/>
            </w:pPr>
          </w:p>
        </w:tc>
        <w:tc>
          <w:tcPr>
            <w:tcW w:w="395" w:type="pct"/>
          </w:tcPr>
          <w:p w14:paraId="295D178E" w14:textId="77777777" w:rsidR="006F7483" w:rsidRPr="00E90827" w:rsidRDefault="006F7483" w:rsidP="00E90827">
            <w:pPr>
              <w:spacing w:before="120" w:after="120"/>
              <w:jc w:val="center"/>
            </w:pPr>
          </w:p>
        </w:tc>
        <w:tc>
          <w:tcPr>
            <w:tcW w:w="394" w:type="pct"/>
          </w:tcPr>
          <w:p w14:paraId="735D5F6D" w14:textId="77777777" w:rsidR="006F7483" w:rsidRPr="00E90827" w:rsidRDefault="006F7483" w:rsidP="00E90827">
            <w:pPr>
              <w:spacing w:before="120" w:after="120"/>
              <w:jc w:val="center"/>
            </w:pPr>
          </w:p>
        </w:tc>
        <w:tc>
          <w:tcPr>
            <w:tcW w:w="529" w:type="pct"/>
          </w:tcPr>
          <w:p w14:paraId="6022C551" w14:textId="77777777" w:rsidR="006F7483" w:rsidRPr="00E90827" w:rsidRDefault="006F7483" w:rsidP="006F7483">
            <w:pPr>
              <w:spacing w:before="120" w:after="120"/>
            </w:pPr>
          </w:p>
        </w:tc>
      </w:tr>
      <w:tr w:rsidR="004710AA" w:rsidRPr="003916DA" w14:paraId="3271415B" w14:textId="77777777" w:rsidTr="004710AA">
        <w:tc>
          <w:tcPr>
            <w:tcW w:w="738" w:type="pct"/>
          </w:tcPr>
          <w:p w14:paraId="7C9F8414" w14:textId="77777777" w:rsidR="00037E20" w:rsidRDefault="00E30793" w:rsidP="006F7483">
            <w:pPr>
              <w:spacing w:before="120" w:after="120"/>
            </w:pPr>
            <w:r>
              <w:t xml:space="preserve">H – </w:t>
            </w:r>
            <w:r w:rsidR="00037E20">
              <w:t>Lone working</w:t>
            </w:r>
          </w:p>
          <w:p w14:paraId="58EBCA47" w14:textId="77777777" w:rsidR="00412243" w:rsidRDefault="00412243" w:rsidP="006F7483">
            <w:pPr>
              <w:spacing w:before="120" w:after="120"/>
            </w:pPr>
            <w:r>
              <w:t>HE – Injured whilst working alone</w:t>
            </w:r>
          </w:p>
          <w:p w14:paraId="668723BE" w14:textId="6483239E" w:rsidR="00412243" w:rsidRPr="00E90827" w:rsidRDefault="00412243" w:rsidP="006F7483">
            <w:pPr>
              <w:spacing w:before="120" w:after="120"/>
            </w:pPr>
            <w:r>
              <w:t>C – Physical injury</w:t>
            </w:r>
          </w:p>
        </w:tc>
        <w:tc>
          <w:tcPr>
            <w:tcW w:w="455" w:type="pct"/>
          </w:tcPr>
          <w:p w14:paraId="69731B52" w14:textId="38C2D7E6" w:rsidR="00037E20" w:rsidRPr="00E90827" w:rsidRDefault="006B1606" w:rsidP="006F7483">
            <w:pPr>
              <w:spacing w:before="120" w:after="120"/>
            </w:pPr>
            <w:r>
              <w:t>Staff, Students and Contractors</w:t>
            </w:r>
          </w:p>
        </w:tc>
        <w:tc>
          <w:tcPr>
            <w:tcW w:w="1311" w:type="pct"/>
          </w:tcPr>
          <w:p w14:paraId="32278E52" w14:textId="718823B5" w:rsidR="00037E20" w:rsidRDefault="003E784C" w:rsidP="003E784C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Staff make other staff aware if </w:t>
            </w:r>
            <w:r w:rsidR="001E359A">
              <w:t xml:space="preserve">they are </w:t>
            </w:r>
            <w:r>
              <w:t xml:space="preserve">going to storage area </w:t>
            </w:r>
          </w:p>
          <w:p w14:paraId="713F8B50" w14:textId="6E4A15F8" w:rsidR="00BA4B12" w:rsidRDefault="00BA4B12" w:rsidP="003E784C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Staff trained in emergency procedures. Includes b</w:t>
            </w:r>
            <w:r w:rsidR="00DA6375">
              <w:t>eing locked in storage area or suffering an injury</w:t>
            </w:r>
          </w:p>
          <w:p w14:paraId="6DE00D77" w14:textId="6171B0D1" w:rsidR="00671C12" w:rsidRDefault="00671C12" w:rsidP="003E784C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Staff have access to means to raise an alarm if needed.</w:t>
            </w:r>
          </w:p>
          <w:p w14:paraId="3A89C7CA" w14:textId="77777777" w:rsidR="003E784C" w:rsidRDefault="001E359A" w:rsidP="003E784C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Staff aware of emergency campus number to call in an emergency</w:t>
            </w:r>
          </w:p>
          <w:p w14:paraId="7FEBF6D2" w14:textId="7337B3CF" w:rsidR="00671C12" w:rsidRPr="00E90827" w:rsidRDefault="001E359A" w:rsidP="00671C12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Security trained in First Aid</w:t>
            </w:r>
            <w:r w:rsidR="00671C12">
              <w:t xml:space="preserve"> and protocols for entering areas including awareness for hazardous substances and necessary precautions.</w:t>
            </w:r>
          </w:p>
        </w:tc>
        <w:tc>
          <w:tcPr>
            <w:tcW w:w="411" w:type="pct"/>
            <w:shd w:val="clear" w:color="auto" w:fill="FFC000"/>
          </w:tcPr>
          <w:p w14:paraId="1A68D4EC" w14:textId="5D853822" w:rsidR="00037E20" w:rsidRPr="00E90827" w:rsidRDefault="004710AA" w:rsidP="00E90827">
            <w:pPr>
              <w:spacing w:before="120" w:after="120"/>
              <w:jc w:val="center"/>
            </w:pPr>
            <w:r>
              <w:t>Unlikely x Major = Medium</w:t>
            </w:r>
          </w:p>
        </w:tc>
        <w:tc>
          <w:tcPr>
            <w:tcW w:w="766" w:type="pct"/>
          </w:tcPr>
          <w:p w14:paraId="42BD1450" w14:textId="77777777" w:rsidR="00037E20" w:rsidRPr="00E90827" w:rsidRDefault="00037E20" w:rsidP="006F7483">
            <w:pPr>
              <w:spacing w:before="120" w:after="120"/>
            </w:pPr>
          </w:p>
        </w:tc>
        <w:tc>
          <w:tcPr>
            <w:tcW w:w="395" w:type="pct"/>
          </w:tcPr>
          <w:p w14:paraId="6AC10BD7" w14:textId="77777777" w:rsidR="00037E20" w:rsidRPr="00E90827" w:rsidRDefault="00037E20" w:rsidP="00E90827">
            <w:pPr>
              <w:spacing w:before="120" w:after="120"/>
              <w:jc w:val="center"/>
            </w:pPr>
          </w:p>
        </w:tc>
        <w:tc>
          <w:tcPr>
            <w:tcW w:w="394" w:type="pct"/>
          </w:tcPr>
          <w:p w14:paraId="0AF01B96" w14:textId="77777777" w:rsidR="00037E20" w:rsidRPr="00E90827" w:rsidRDefault="00037E20" w:rsidP="00E90827">
            <w:pPr>
              <w:spacing w:before="120" w:after="120"/>
              <w:jc w:val="center"/>
            </w:pPr>
          </w:p>
        </w:tc>
        <w:tc>
          <w:tcPr>
            <w:tcW w:w="529" w:type="pct"/>
          </w:tcPr>
          <w:p w14:paraId="385F1339" w14:textId="77777777" w:rsidR="00037E20" w:rsidRPr="00E90827" w:rsidRDefault="00037E20" w:rsidP="006F7483">
            <w:pPr>
              <w:spacing w:before="120" w:after="120"/>
            </w:pPr>
          </w:p>
        </w:tc>
      </w:tr>
      <w:tr w:rsidR="004710AA" w:rsidRPr="003916DA" w14:paraId="41F4BE96" w14:textId="77777777" w:rsidTr="004710AA">
        <w:tc>
          <w:tcPr>
            <w:tcW w:w="738" w:type="pct"/>
          </w:tcPr>
          <w:p w14:paraId="368C67F2" w14:textId="77777777" w:rsidR="00DB1A68" w:rsidRDefault="00DB1A68" w:rsidP="006F7483">
            <w:pPr>
              <w:spacing w:before="120" w:after="120"/>
            </w:pPr>
            <w:r>
              <w:t>H – Poor housekeeping</w:t>
            </w:r>
          </w:p>
          <w:p w14:paraId="0D7B01FF" w14:textId="77777777" w:rsidR="00DB1A68" w:rsidRDefault="00DB1A68" w:rsidP="006F7483">
            <w:pPr>
              <w:spacing w:before="120" w:after="120"/>
            </w:pPr>
            <w:r>
              <w:t>HE – Poor housekeeping producing trip hazards</w:t>
            </w:r>
          </w:p>
          <w:p w14:paraId="1B8AB762" w14:textId="4D9C7B7B" w:rsidR="00037E20" w:rsidRPr="00E90827" w:rsidRDefault="00DB1A68" w:rsidP="006F7483">
            <w:pPr>
              <w:spacing w:before="120" w:after="120"/>
            </w:pPr>
            <w:r>
              <w:t xml:space="preserve">C – Cut or potential fracture </w:t>
            </w:r>
          </w:p>
        </w:tc>
        <w:tc>
          <w:tcPr>
            <w:tcW w:w="455" w:type="pct"/>
          </w:tcPr>
          <w:p w14:paraId="33A9E26D" w14:textId="5372B716" w:rsidR="00037E20" w:rsidRPr="00E90827" w:rsidRDefault="006B1606" w:rsidP="006F7483">
            <w:pPr>
              <w:spacing w:before="120" w:after="120"/>
            </w:pPr>
            <w:r>
              <w:t>Staff, Students and Contractors</w:t>
            </w:r>
          </w:p>
        </w:tc>
        <w:tc>
          <w:tcPr>
            <w:tcW w:w="1311" w:type="pct"/>
          </w:tcPr>
          <w:p w14:paraId="2D23EFD8" w14:textId="0DC21F18" w:rsidR="00F038A7" w:rsidRDefault="00F038A7" w:rsidP="001E359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Only those authorised to have access to store </w:t>
            </w:r>
            <w:proofErr w:type="gramStart"/>
            <w:r>
              <w:t>room</w:t>
            </w:r>
            <w:proofErr w:type="gramEnd"/>
          </w:p>
          <w:p w14:paraId="4146A553" w14:textId="5CF138FB" w:rsidR="00037E20" w:rsidRDefault="001E359A" w:rsidP="001E359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proofErr w:type="gramStart"/>
            <w:r>
              <w:t>Store room</w:t>
            </w:r>
            <w:proofErr w:type="gramEnd"/>
            <w:r>
              <w:t xml:space="preserve"> regularly monitored to prevent build-up of combustibles</w:t>
            </w:r>
          </w:p>
          <w:p w14:paraId="71000DE1" w14:textId="77A7017E" w:rsidR="001E359A" w:rsidRDefault="00F038A7" w:rsidP="001E359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Only identified staff order items to be kept in </w:t>
            </w:r>
            <w:proofErr w:type="gramStart"/>
            <w:r>
              <w:t>store room</w:t>
            </w:r>
            <w:proofErr w:type="gramEnd"/>
            <w:r>
              <w:t xml:space="preserve"> to prevent </w:t>
            </w:r>
            <w:proofErr w:type="spellStart"/>
            <w:r>
              <w:t>build up</w:t>
            </w:r>
            <w:proofErr w:type="spellEnd"/>
            <w:r>
              <w:t xml:space="preserve"> of items</w:t>
            </w:r>
          </w:p>
          <w:p w14:paraId="32389755" w14:textId="77777777" w:rsidR="001E359A" w:rsidRDefault="001E359A" w:rsidP="001E359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Staff who regularly use </w:t>
            </w:r>
            <w:proofErr w:type="gramStart"/>
            <w:r>
              <w:t>store room</w:t>
            </w:r>
            <w:proofErr w:type="gramEnd"/>
            <w:r>
              <w:t xml:space="preserve"> trained regarding </w:t>
            </w:r>
            <w:r>
              <w:lastRenderedPageBreak/>
              <w:t>importance of keeping area tidy</w:t>
            </w:r>
          </w:p>
          <w:p w14:paraId="06321725" w14:textId="77777777" w:rsidR="001E359A" w:rsidRDefault="001E359A" w:rsidP="001E359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Rubbish </w:t>
            </w:r>
            <w:r w:rsidR="00F038A7">
              <w:t>placed in appropriate waste bin and removed by Soft FM</w:t>
            </w:r>
          </w:p>
          <w:p w14:paraId="6CC48E8D" w14:textId="4B7CCA18" w:rsidR="00DA4E7E" w:rsidRDefault="00DA4E7E" w:rsidP="001E359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Checks for damage of containers, stored items or racking shelves / edges undertaken regularly e.g. flaps of cardboard, or other items extending beyond shelf edges, and replacements made disposing of replaced items.</w:t>
            </w:r>
          </w:p>
          <w:p w14:paraId="17602F70" w14:textId="4AAE993E" w:rsidR="000B45D3" w:rsidRPr="00E90827" w:rsidRDefault="000B45D3" w:rsidP="001E359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Security trained in First Aid</w:t>
            </w:r>
          </w:p>
        </w:tc>
        <w:tc>
          <w:tcPr>
            <w:tcW w:w="411" w:type="pct"/>
            <w:shd w:val="clear" w:color="auto" w:fill="FFC000"/>
          </w:tcPr>
          <w:p w14:paraId="6008AC3C" w14:textId="231B96DC" w:rsidR="00037E20" w:rsidRPr="00E90827" w:rsidRDefault="004710AA" w:rsidP="00E90827">
            <w:pPr>
              <w:spacing w:before="120" w:after="120"/>
              <w:jc w:val="center"/>
            </w:pPr>
            <w:r>
              <w:lastRenderedPageBreak/>
              <w:t>Unlikely x Major = Medium</w:t>
            </w:r>
          </w:p>
        </w:tc>
        <w:tc>
          <w:tcPr>
            <w:tcW w:w="766" w:type="pct"/>
          </w:tcPr>
          <w:p w14:paraId="47C45DC0" w14:textId="77777777" w:rsidR="00037E20" w:rsidRPr="00E90827" w:rsidRDefault="00037E20" w:rsidP="006F7483">
            <w:pPr>
              <w:spacing w:before="120" w:after="120"/>
            </w:pPr>
          </w:p>
        </w:tc>
        <w:tc>
          <w:tcPr>
            <w:tcW w:w="395" w:type="pct"/>
          </w:tcPr>
          <w:p w14:paraId="534D746D" w14:textId="77777777" w:rsidR="00037E20" w:rsidRPr="00E90827" w:rsidRDefault="00037E20" w:rsidP="00E90827">
            <w:pPr>
              <w:spacing w:before="120" w:after="120"/>
              <w:jc w:val="center"/>
            </w:pPr>
          </w:p>
        </w:tc>
        <w:tc>
          <w:tcPr>
            <w:tcW w:w="394" w:type="pct"/>
          </w:tcPr>
          <w:p w14:paraId="5D786618" w14:textId="77777777" w:rsidR="00037E20" w:rsidRPr="00E90827" w:rsidRDefault="00037E20" w:rsidP="00E90827">
            <w:pPr>
              <w:spacing w:before="120" w:after="120"/>
              <w:jc w:val="center"/>
            </w:pPr>
          </w:p>
        </w:tc>
        <w:tc>
          <w:tcPr>
            <w:tcW w:w="529" w:type="pct"/>
          </w:tcPr>
          <w:p w14:paraId="6EF18128" w14:textId="77777777" w:rsidR="00037E20" w:rsidRPr="00E90827" w:rsidRDefault="00037E20" w:rsidP="006F7483">
            <w:pPr>
              <w:spacing w:before="120" w:after="120"/>
            </w:pPr>
          </w:p>
        </w:tc>
      </w:tr>
      <w:tr w:rsidR="004710AA" w:rsidRPr="003916DA" w14:paraId="58E92748" w14:textId="77777777" w:rsidTr="004710AA">
        <w:tc>
          <w:tcPr>
            <w:tcW w:w="738" w:type="pct"/>
          </w:tcPr>
          <w:p w14:paraId="014743B3" w14:textId="77777777" w:rsidR="000B76B4" w:rsidRDefault="006F1A83" w:rsidP="006F7483">
            <w:pPr>
              <w:spacing w:before="120" w:after="120"/>
            </w:pPr>
            <w:r>
              <w:t>H – Heavy items</w:t>
            </w:r>
          </w:p>
          <w:p w14:paraId="01528E30" w14:textId="77777777" w:rsidR="006F1A83" w:rsidRDefault="006F1A83" w:rsidP="006F7483">
            <w:pPr>
              <w:spacing w:before="120" w:after="120"/>
            </w:pPr>
            <w:r>
              <w:t>HE – Lifting of heavy items</w:t>
            </w:r>
          </w:p>
          <w:p w14:paraId="2C4CEDCE" w14:textId="5B9E16C4" w:rsidR="006F1A83" w:rsidRDefault="006F1A83" w:rsidP="006F7483">
            <w:pPr>
              <w:spacing w:before="120" w:after="120"/>
            </w:pPr>
            <w:r>
              <w:t>C – Back, arm or neck injuries</w:t>
            </w:r>
          </w:p>
        </w:tc>
        <w:tc>
          <w:tcPr>
            <w:tcW w:w="455" w:type="pct"/>
          </w:tcPr>
          <w:p w14:paraId="1E4BB8A7" w14:textId="1801F708" w:rsidR="000B76B4" w:rsidRDefault="00597CD0" w:rsidP="006F7483">
            <w:pPr>
              <w:spacing w:before="120" w:after="120"/>
            </w:pPr>
            <w:r>
              <w:t xml:space="preserve">Staff, </w:t>
            </w:r>
            <w:r w:rsidR="006B1606">
              <w:t>S</w:t>
            </w:r>
            <w:r>
              <w:t xml:space="preserve">tudents </w:t>
            </w:r>
          </w:p>
        </w:tc>
        <w:tc>
          <w:tcPr>
            <w:tcW w:w="1311" w:type="pct"/>
          </w:tcPr>
          <w:p w14:paraId="29C6E63C" w14:textId="4AF0064C" w:rsidR="003E102A" w:rsidRDefault="003E102A" w:rsidP="003E102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Shelving not accessible without reaching, stretching or requiring manual handling above shoulder height to be off limits for storage without a clear SSOW and/or mechanical aids.</w:t>
            </w:r>
          </w:p>
          <w:p w14:paraId="207EC7A3" w14:textId="6D251ABF" w:rsidR="00DA4E7E" w:rsidRDefault="00DA4E7E" w:rsidP="003E102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 xml:space="preserve">Awareness in place for all individuals undertaking movement of items to include elements such as: size, weight, centre of gravity, location, manoeuvrability (space available to access items), twisting, reaching etc. in an appropriate manual handling assessment. </w:t>
            </w:r>
          </w:p>
          <w:p w14:paraId="6C0152A1" w14:textId="7D686A67" w:rsidR="000B76B4" w:rsidRDefault="00597CD0" w:rsidP="003E102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lastRenderedPageBreak/>
              <w:t>Items such as sack trucks and trolleys provided to staff to help lift and carry items</w:t>
            </w:r>
          </w:p>
          <w:p w14:paraId="023DC5A0" w14:textId="20FBB576" w:rsidR="0023479F" w:rsidRDefault="0023479F" w:rsidP="003E102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Manual handling training provided to staff appropriate for area of work</w:t>
            </w:r>
          </w:p>
          <w:p w14:paraId="66ED51B9" w14:textId="77777777" w:rsidR="00597CD0" w:rsidRDefault="006F1A83" w:rsidP="003E102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Sack trucks and trolleys undergo annual inspections to ensure they are safe to use</w:t>
            </w:r>
          </w:p>
          <w:p w14:paraId="59F796B7" w14:textId="0480C25F" w:rsidR="006F1A83" w:rsidRDefault="006F1A83" w:rsidP="003E102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Porters contacted to move any particularly heavy items</w:t>
            </w:r>
          </w:p>
        </w:tc>
        <w:tc>
          <w:tcPr>
            <w:tcW w:w="411" w:type="pct"/>
            <w:shd w:val="clear" w:color="auto" w:fill="92D050"/>
          </w:tcPr>
          <w:p w14:paraId="0A5DBF3A" w14:textId="1A1F276A" w:rsidR="000B76B4" w:rsidRPr="00E90827" w:rsidRDefault="004710AA" w:rsidP="00E90827">
            <w:pPr>
              <w:spacing w:before="120" w:after="120"/>
              <w:jc w:val="center"/>
            </w:pPr>
            <w:r>
              <w:lastRenderedPageBreak/>
              <w:t>Unlikely x Moderate = Low</w:t>
            </w:r>
          </w:p>
        </w:tc>
        <w:tc>
          <w:tcPr>
            <w:tcW w:w="766" w:type="pct"/>
          </w:tcPr>
          <w:p w14:paraId="497DD841" w14:textId="77777777" w:rsidR="000B76B4" w:rsidRPr="00E90827" w:rsidRDefault="000B76B4" w:rsidP="006F7483">
            <w:pPr>
              <w:spacing w:before="120" w:after="120"/>
            </w:pPr>
          </w:p>
        </w:tc>
        <w:tc>
          <w:tcPr>
            <w:tcW w:w="395" w:type="pct"/>
          </w:tcPr>
          <w:p w14:paraId="7BDE1AB0" w14:textId="77777777" w:rsidR="000B76B4" w:rsidRPr="00E90827" w:rsidRDefault="000B76B4" w:rsidP="00E90827">
            <w:pPr>
              <w:spacing w:before="120" w:after="120"/>
              <w:jc w:val="center"/>
            </w:pPr>
          </w:p>
        </w:tc>
        <w:tc>
          <w:tcPr>
            <w:tcW w:w="394" w:type="pct"/>
          </w:tcPr>
          <w:p w14:paraId="12B2D36B" w14:textId="77777777" w:rsidR="000B76B4" w:rsidRPr="00E90827" w:rsidRDefault="000B76B4" w:rsidP="00E90827">
            <w:pPr>
              <w:spacing w:before="120" w:after="120"/>
              <w:jc w:val="center"/>
            </w:pPr>
          </w:p>
        </w:tc>
        <w:tc>
          <w:tcPr>
            <w:tcW w:w="529" w:type="pct"/>
          </w:tcPr>
          <w:p w14:paraId="71655E8C" w14:textId="77777777" w:rsidR="000B76B4" w:rsidRPr="00E90827" w:rsidRDefault="000B76B4" w:rsidP="006F7483">
            <w:pPr>
              <w:spacing w:before="120" w:after="120"/>
            </w:pPr>
          </w:p>
        </w:tc>
      </w:tr>
    </w:tbl>
    <w:p w14:paraId="4DB27321" w14:textId="77777777" w:rsidR="004F674E" w:rsidRDefault="008B0000">
      <w:pPr>
        <w:rPr>
          <w:rFonts w:cs="Arial"/>
        </w:rPr>
      </w:pPr>
      <w:r w:rsidRPr="008B0000">
        <w:rPr>
          <w:rFonts w:cs="Arial"/>
        </w:rPr>
        <w:t>Add more rows</w:t>
      </w:r>
      <w:r w:rsidR="006F7483">
        <w:rPr>
          <w:rFonts w:cs="Arial"/>
        </w:rPr>
        <w:t xml:space="preserve"> if needed</w:t>
      </w:r>
    </w:p>
    <w:p w14:paraId="51F794C6" w14:textId="77777777" w:rsidR="006F7483" w:rsidRDefault="006F7483">
      <w:pPr>
        <w:rPr>
          <w:rFonts w:cs="Arial"/>
        </w:rPr>
      </w:pPr>
    </w:p>
    <w:p w14:paraId="22135D54" w14:textId="77777777" w:rsidR="006F7483" w:rsidRPr="00C725C4" w:rsidRDefault="00C725C4" w:rsidP="006F7483">
      <w:pPr>
        <w:pStyle w:val="NoSpacing"/>
        <w:rPr>
          <w:b w:val="0"/>
        </w:rPr>
      </w:pPr>
      <w:r>
        <w:t xml:space="preserve">Periodic </w:t>
      </w:r>
      <w:r w:rsidR="006F7483" w:rsidRPr="006F7483">
        <w:t>Review</w:t>
      </w:r>
      <w:r>
        <w:t xml:space="preserve"> 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660"/>
        <w:gridCol w:w="2551"/>
        <w:gridCol w:w="2552"/>
        <w:gridCol w:w="2268"/>
        <w:gridCol w:w="2268"/>
        <w:gridCol w:w="2268"/>
      </w:tblGrid>
      <w:tr w:rsidR="006F7483" w14:paraId="0FC45280" w14:textId="77777777" w:rsidTr="00AE6C77">
        <w:tc>
          <w:tcPr>
            <w:tcW w:w="2660" w:type="dxa"/>
            <w:shd w:val="clear" w:color="auto" w:fill="F2F2F2" w:themeFill="background1" w:themeFillShade="F2"/>
          </w:tcPr>
          <w:p w14:paraId="5BF01A7C" w14:textId="77777777" w:rsidR="006F7483" w:rsidRPr="006F7483" w:rsidRDefault="006F7483" w:rsidP="00AE6C77">
            <w:pPr>
              <w:rPr>
                <w:rFonts w:cs="Arial"/>
                <w:b/>
              </w:rPr>
            </w:pPr>
            <w:r w:rsidRPr="006F7483">
              <w:rPr>
                <w:rFonts w:cs="Arial"/>
                <w:b/>
              </w:rPr>
              <w:t>Review date:</w:t>
            </w:r>
          </w:p>
        </w:tc>
        <w:tc>
          <w:tcPr>
            <w:tcW w:w="2551" w:type="dxa"/>
          </w:tcPr>
          <w:p w14:paraId="2534DF04" w14:textId="77777777" w:rsidR="006F7483" w:rsidRDefault="006F7483" w:rsidP="00AE6C77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785C595E" w14:textId="77777777" w:rsidR="006F7483" w:rsidRDefault="006F7483" w:rsidP="00AE6C77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09DD5ED7" w14:textId="77777777" w:rsidR="006F7483" w:rsidRDefault="006F7483" w:rsidP="00AE6C77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0C8C22F8" w14:textId="77777777" w:rsidR="006F7483" w:rsidRDefault="006F7483" w:rsidP="00AE6C77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772634CB" w14:textId="77777777" w:rsidR="006F7483" w:rsidRDefault="006F7483" w:rsidP="00AE6C77">
            <w:pPr>
              <w:rPr>
                <w:rFonts w:cs="Arial"/>
              </w:rPr>
            </w:pPr>
          </w:p>
        </w:tc>
      </w:tr>
      <w:tr w:rsidR="006F7483" w14:paraId="116070E2" w14:textId="77777777" w:rsidTr="00AE6C77">
        <w:tc>
          <w:tcPr>
            <w:tcW w:w="2660" w:type="dxa"/>
            <w:shd w:val="clear" w:color="auto" w:fill="F2F2F2" w:themeFill="background1" w:themeFillShade="F2"/>
          </w:tcPr>
          <w:p w14:paraId="799DAAA0" w14:textId="77777777" w:rsidR="006F7483" w:rsidRPr="006F7483" w:rsidRDefault="006F7483" w:rsidP="00AE6C77">
            <w:pPr>
              <w:rPr>
                <w:rFonts w:cs="Arial"/>
                <w:b/>
              </w:rPr>
            </w:pPr>
            <w:r w:rsidRPr="006F7483">
              <w:rPr>
                <w:rFonts w:cs="Arial"/>
                <w:b/>
              </w:rPr>
              <w:t>Review by:</w:t>
            </w:r>
          </w:p>
        </w:tc>
        <w:tc>
          <w:tcPr>
            <w:tcW w:w="2551" w:type="dxa"/>
          </w:tcPr>
          <w:p w14:paraId="30A7A9D2" w14:textId="77777777" w:rsidR="006F7483" w:rsidRDefault="006F7483" w:rsidP="00AE6C77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2B2AB422" w14:textId="77777777" w:rsidR="006F7483" w:rsidRDefault="006F7483" w:rsidP="00AE6C77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204D43D6" w14:textId="77777777" w:rsidR="006F7483" w:rsidRDefault="006F7483" w:rsidP="00AE6C77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4F302728" w14:textId="77777777" w:rsidR="006F7483" w:rsidRDefault="006F7483" w:rsidP="00AE6C77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055B0F23" w14:textId="77777777" w:rsidR="006F7483" w:rsidRDefault="006F7483" w:rsidP="00AE6C77">
            <w:pPr>
              <w:rPr>
                <w:rFonts w:cs="Arial"/>
              </w:rPr>
            </w:pPr>
          </w:p>
        </w:tc>
      </w:tr>
      <w:tr w:rsidR="006F7483" w14:paraId="3525B92C" w14:textId="77777777" w:rsidTr="00AE6C77">
        <w:tc>
          <w:tcPr>
            <w:tcW w:w="2660" w:type="dxa"/>
            <w:shd w:val="clear" w:color="auto" w:fill="F2F2F2" w:themeFill="background1" w:themeFillShade="F2"/>
          </w:tcPr>
          <w:p w14:paraId="3BD7464C" w14:textId="77777777" w:rsidR="006F7483" w:rsidRPr="006F7483" w:rsidRDefault="006F7483" w:rsidP="00AE6C77">
            <w:pPr>
              <w:rPr>
                <w:rFonts w:cs="Arial"/>
                <w:b/>
              </w:rPr>
            </w:pPr>
            <w:r w:rsidRPr="006F7483">
              <w:rPr>
                <w:rFonts w:cs="Arial"/>
                <w:b/>
              </w:rPr>
              <w:t>Signed:</w:t>
            </w:r>
          </w:p>
        </w:tc>
        <w:tc>
          <w:tcPr>
            <w:tcW w:w="2551" w:type="dxa"/>
          </w:tcPr>
          <w:p w14:paraId="4CB0B44A" w14:textId="77777777" w:rsidR="006F7483" w:rsidRDefault="006F7483" w:rsidP="00AE6C77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32015D31" w14:textId="77777777" w:rsidR="006F7483" w:rsidRDefault="006F7483" w:rsidP="00AE6C77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7960E043" w14:textId="77777777" w:rsidR="006F7483" w:rsidRDefault="006F7483" w:rsidP="00AE6C77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148864C7" w14:textId="77777777" w:rsidR="006F7483" w:rsidRDefault="006F7483" w:rsidP="00AE6C77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4F8ED246" w14:textId="77777777" w:rsidR="006F7483" w:rsidRDefault="006F7483" w:rsidP="00AE6C77">
            <w:pPr>
              <w:rPr>
                <w:rFonts w:cs="Arial"/>
              </w:rPr>
            </w:pPr>
          </w:p>
        </w:tc>
      </w:tr>
    </w:tbl>
    <w:p w14:paraId="033D9C7D" w14:textId="77777777" w:rsidR="006F7483" w:rsidRPr="008B0000" w:rsidRDefault="006F7483">
      <w:pPr>
        <w:rPr>
          <w:rFonts w:cs="Arial"/>
        </w:rPr>
      </w:pPr>
      <w:r>
        <w:rPr>
          <w:rFonts w:cs="Arial"/>
        </w:rPr>
        <w:t>If there are changes</w:t>
      </w:r>
      <w:r w:rsidR="00435DDD">
        <w:rPr>
          <w:rFonts w:cs="Arial"/>
        </w:rPr>
        <w:t>,</w:t>
      </w:r>
      <w:r>
        <w:rPr>
          <w:rFonts w:cs="Arial"/>
        </w:rPr>
        <w:t xml:space="preserve"> please save assessment as a new version and archive previous version.</w:t>
      </w:r>
    </w:p>
    <w:sectPr w:rsidR="006F7483" w:rsidRPr="008B0000" w:rsidSect="00AE6C77">
      <w:headerReference w:type="default" r:id="rId7"/>
      <w:headerReference w:type="first" r:id="rId8"/>
      <w:footerReference w:type="first" r:id="rId9"/>
      <w:pgSz w:w="16838" w:h="11906" w:orient="landscape"/>
      <w:pgMar w:top="986" w:right="1440" w:bottom="1440" w:left="1440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26CD" w14:textId="77777777" w:rsidR="000E6392" w:rsidRDefault="000E6392" w:rsidP="004F674E">
      <w:r>
        <w:separator/>
      </w:r>
    </w:p>
  </w:endnote>
  <w:endnote w:type="continuationSeparator" w:id="0">
    <w:p w14:paraId="4F37F439" w14:textId="77777777" w:rsidR="000E6392" w:rsidRDefault="000E6392" w:rsidP="004F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5526" w14:textId="77777777" w:rsidR="00AE6C77" w:rsidRPr="00BD2CB5" w:rsidRDefault="00AE6C77" w:rsidP="00AE6C77">
    <w:pPr>
      <w:pStyle w:val="Footer"/>
    </w:pPr>
    <w:r>
      <w:t>Ra-blank_v2 08/19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E90827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</w:p>
  <w:tbl>
    <w:tblPr>
      <w:tblStyle w:val="TableGrid"/>
      <w:tblW w:w="6326" w:type="dxa"/>
      <w:tblInd w:w="8741" w:type="dxa"/>
      <w:tblLook w:val="04A0" w:firstRow="1" w:lastRow="0" w:firstColumn="1" w:lastColumn="0" w:noHBand="0" w:noVBand="1"/>
    </w:tblPr>
    <w:tblGrid>
      <w:gridCol w:w="411"/>
      <w:gridCol w:w="1115"/>
      <w:gridCol w:w="1124"/>
      <w:gridCol w:w="830"/>
      <w:gridCol w:w="1008"/>
      <w:gridCol w:w="892"/>
      <w:gridCol w:w="946"/>
    </w:tblGrid>
    <w:tr w:rsidR="00AE6C77" w:rsidRPr="003916DA" w14:paraId="2A19463F" w14:textId="77777777" w:rsidTr="00290604">
      <w:tc>
        <w:tcPr>
          <w:tcW w:w="0" w:type="auto"/>
          <w:vMerge w:val="restart"/>
          <w:textDirection w:val="btLr"/>
        </w:tcPr>
        <w:p w14:paraId="33FA6394" w14:textId="77777777" w:rsidR="00AE6C77" w:rsidRPr="00EC58A2" w:rsidRDefault="00AE6C77" w:rsidP="00290604">
          <w:pPr>
            <w:ind w:left="113" w:right="113"/>
            <w:jc w:val="center"/>
            <w:rPr>
              <w:rFonts w:cs="Arial"/>
              <w:b/>
              <w:sz w:val="16"/>
              <w:szCs w:val="16"/>
            </w:rPr>
          </w:pPr>
          <w:bookmarkStart w:id="0" w:name="OLE_LINK1"/>
          <w:bookmarkStart w:id="1" w:name="OLE_LINK2"/>
          <w:r w:rsidRPr="00EC58A2">
            <w:rPr>
              <w:rFonts w:cs="Arial"/>
              <w:b/>
              <w:sz w:val="16"/>
              <w:szCs w:val="16"/>
            </w:rPr>
            <w:t>Consequence</w:t>
          </w:r>
        </w:p>
      </w:tc>
      <w:tc>
        <w:tcPr>
          <w:tcW w:w="0" w:type="auto"/>
        </w:tcPr>
        <w:p w14:paraId="27CAF743" w14:textId="77777777" w:rsidR="00AE6C77" w:rsidRPr="003916DA" w:rsidRDefault="00AE6C77" w:rsidP="00290604">
          <w:pPr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Catastrophic</w:t>
          </w:r>
        </w:p>
      </w:tc>
      <w:tc>
        <w:tcPr>
          <w:tcW w:w="0" w:type="auto"/>
          <w:shd w:val="clear" w:color="auto" w:fill="FFC000"/>
        </w:tcPr>
        <w:p w14:paraId="307C9EA8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0000"/>
        </w:tcPr>
        <w:p w14:paraId="37DF5A4A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High</w:t>
          </w:r>
        </w:p>
      </w:tc>
      <w:tc>
        <w:tcPr>
          <w:tcW w:w="0" w:type="auto"/>
          <w:shd w:val="clear" w:color="auto" w:fill="7030A0"/>
        </w:tcPr>
        <w:p w14:paraId="0E9798C2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High</w:t>
          </w:r>
        </w:p>
      </w:tc>
      <w:tc>
        <w:tcPr>
          <w:tcW w:w="0" w:type="auto"/>
          <w:shd w:val="clear" w:color="auto" w:fill="7030A0"/>
        </w:tcPr>
        <w:p w14:paraId="68CC1614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high</w:t>
          </w:r>
        </w:p>
      </w:tc>
      <w:tc>
        <w:tcPr>
          <w:tcW w:w="0" w:type="auto"/>
          <w:shd w:val="clear" w:color="auto" w:fill="7030A0"/>
        </w:tcPr>
        <w:p w14:paraId="7877E1AB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High</w:t>
          </w:r>
        </w:p>
      </w:tc>
    </w:tr>
    <w:tr w:rsidR="00AE6C77" w:rsidRPr="003916DA" w14:paraId="48E2B0D1" w14:textId="77777777" w:rsidTr="00290604">
      <w:tc>
        <w:tcPr>
          <w:tcW w:w="0" w:type="auto"/>
          <w:vMerge/>
          <w:textDirection w:val="btLr"/>
        </w:tcPr>
        <w:p w14:paraId="26A8B2BC" w14:textId="77777777" w:rsidR="00AE6C77" w:rsidRPr="003916DA" w:rsidRDefault="00AE6C77" w:rsidP="00290604">
          <w:pPr>
            <w:ind w:left="113" w:right="113"/>
            <w:rPr>
              <w:rFonts w:cs="Arial"/>
              <w:sz w:val="16"/>
              <w:szCs w:val="16"/>
            </w:rPr>
          </w:pPr>
        </w:p>
      </w:tc>
      <w:tc>
        <w:tcPr>
          <w:tcW w:w="0" w:type="auto"/>
        </w:tcPr>
        <w:p w14:paraId="30DD9397" w14:textId="77777777" w:rsidR="00AE6C77" w:rsidRPr="003916DA" w:rsidRDefault="00AE6C77" w:rsidP="00290604">
          <w:pPr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Major</w:t>
          </w:r>
        </w:p>
      </w:tc>
      <w:tc>
        <w:tcPr>
          <w:tcW w:w="0" w:type="auto"/>
          <w:shd w:val="clear" w:color="auto" w:fill="92D050"/>
        </w:tcPr>
        <w:p w14:paraId="3F73D1A9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FFC000"/>
        </w:tcPr>
        <w:p w14:paraId="593F1703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0000"/>
        </w:tcPr>
        <w:p w14:paraId="6462A707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High</w:t>
          </w:r>
        </w:p>
      </w:tc>
      <w:tc>
        <w:tcPr>
          <w:tcW w:w="0" w:type="auto"/>
          <w:shd w:val="clear" w:color="auto" w:fill="FF0000"/>
        </w:tcPr>
        <w:p w14:paraId="37AEA8AF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High</w:t>
          </w:r>
        </w:p>
      </w:tc>
      <w:tc>
        <w:tcPr>
          <w:tcW w:w="0" w:type="auto"/>
          <w:shd w:val="clear" w:color="auto" w:fill="7030A0"/>
        </w:tcPr>
        <w:p w14:paraId="428A260E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High</w:t>
          </w:r>
        </w:p>
      </w:tc>
    </w:tr>
    <w:tr w:rsidR="00AE6C77" w:rsidRPr="003916DA" w14:paraId="6D6EEA4F" w14:textId="77777777" w:rsidTr="00290604">
      <w:tc>
        <w:tcPr>
          <w:tcW w:w="0" w:type="auto"/>
          <w:vMerge/>
          <w:textDirection w:val="btLr"/>
        </w:tcPr>
        <w:p w14:paraId="3BA61193" w14:textId="77777777" w:rsidR="00AE6C77" w:rsidRPr="003916DA" w:rsidRDefault="00AE6C77" w:rsidP="00290604">
          <w:pPr>
            <w:ind w:left="113" w:right="113"/>
            <w:rPr>
              <w:rFonts w:cs="Arial"/>
              <w:sz w:val="16"/>
              <w:szCs w:val="16"/>
            </w:rPr>
          </w:pPr>
        </w:p>
      </w:tc>
      <w:tc>
        <w:tcPr>
          <w:tcW w:w="0" w:type="auto"/>
        </w:tcPr>
        <w:p w14:paraId="6CFD1176" w14:textId="77777777" w:rsidR="00AE6C77" w:rsidRPr="003916DA" w:rsidRDefault="00AE6C77" w:rsidP="00290604">
          <w:pPr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Moderate</w:t>
          </w:r>
        </w:p>
      </w:tc>
      <w:tc>
        <w:tcPr>
          <w:tcW w:w="0" w:type="auto"/>
          <w:shd w:val="clear" w:color="auto" w:fill="00B050"/>
        </w:tcPr>
        <w:p w14:paraId="4393CCA2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low</w:t>
          </w:r>
        </w:p>
      </w:tc>
      <w:tc>
        <w:tcPr>
          <w:tcW w:w="0" w:type="auto"/>
          <w:shd w:val="clear" w:color="auto" w:fill="92D050"/>
        </w:tcPr>
        <w:p w14:paraId="181E4AEE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FFC000"/>
        </w:tcPr>
        <w:p w14:paraId="5D2D4B66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C000"/>
        </w:tcPr>
        <w:p w14:paraId="2DB27813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0000"/>
        </w:tcPr>
        <w:p w14:paraId="32B53995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High</w:t>
          </w:r>
        </w:p>
      </w:tc>
    </w:tr>
    <w:tr w:rsidR="00AE6C77" w:rsidRPr="003916DA" w14:paraId="1410BA95" w14:textId="77777777" w:rsidTr="00290604">
      <w:tc>
        <w:tcPr>
          <w:tcW w:w="0" w:type="auto"/>
          <w:vMerge/>
          <w:textDirection w:val="btLr"/>
        </w:tcPr>
        <w:p w14:paraId="531FC917" w14:textId="77777777" w:rsidR="00AE6C77" w:rsidRPr="003916DA" w:rsidRDefault="00AE6C77" w:rsidP="00290604">
          <w:pPr>
            <w:ind w:left="113" w:right="113"/>
            <w:rPr>
              <w:rFonts w:cs="Arial"/>
              <w:sz w:val="16"/>
              <w:szCs w:val="16"/>
            </w:rPr>
          </w:pPr>
        </w:p>
      </w:tc>
      <w:tc>
        <w:tcPr>
          <w:tcW w:w="0" w:type="auto"/>
        </w:tcPr>
        <w:p w14:paraId="057262E2" w14:textId="77777777" w:rsidR="00AE6C77" w:rsidRPr="003916DA" w:rsidRDefault="00AE6C77" w:rsidP="00290604">
          <w:pPr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Minor</w:t>
          </w:r>
        </w:p>
      </w:tc>
      <w:tc>
        <w:tcPr>
          <w:tcW w:w="0" w:type="auto"/>
          <w:shd w:val="clear" w:color="auto" w:fill="00B050"/>
        </w:tcPr>
        <w:p w14:paraId="10481E51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low</w:t>
          </w:r>
        </w:p>
      </w:tc>
      <w:tc>
        <w:tcPr>
          <w:tcW w:w="0" w:type="auto"/>
          <w:shd w:val="clear" w:color="auto" w:fill="92D050"/>
        </w:tcPr>
        <w:p w14:paraId="39BFD554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92D050"/>
        </w:tcPr>
        <w:p w14:paraId="0F67D16F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FFC000"/>
        </w:tcPr>
        <w:p w14:paraId="1CDA419B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C000"/>
        </w:tcPr>
        <w:p w14:paraId="7C138636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Medium</w:t>
          </w:r>
        </w:p>
      </w:tc>
    </w:tr>
    <w:tr w:rsidR="00AE6C77" w:rsidRPr="003916DA" w14:paraId="6C2364BE" w14:textId="77777777" w:rsidTr="00290604">
      <w:trPr>
        <w:trHeight w:val="51"/>
      </w:trPr>
      <w:tc>
        <w:tcPr>
          <w:tcW w:w="0" w:type="auto"/>
          <w:vMerge/>
          <w:textDirection w:val="btLr"/>
        </w:tcPr>
        <w:p w14:paraId="60D2AE6F" w14:textId="77777777" w:rsidR="00AE6C77" w:rsidRPr="003916DA" w:rsidRDefault="00AE6C77" w:rsidP="00290604">
          <w:pPr>
            <w:ind w:left="113" w:right="113"/>
            <w:rPr>
              <w:rFonts w:cs="Arial"/>
              <w:sz w:val="16"/>
              <w:szCs w:val="16"/>
            </w:rPr>
          </w:pPr>
        </w:p>
      </w:tc>
      <w:tc>
        <w:tcPr>
          <w:tcW w:w="0" w:type="auto"/>
        </w:tcPr>
        <w:p w14:paraId="0D7ABD08" w14:textId="77777777" w:rsidR="00AE6C77" w:rsidRPr="003916DA" w:rsidRDefault="00AE6C77" w:rsidP="00290604">
          <w:pPr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Insignificant</w:t>
          </w:r>
        </w:p>
      </w:tc>
      <w:tc>
        <w:tcPr>
          <w:tcW w:w="0" w:type="auto"/>
          <w:shd w:val="clear" w:color="auto" w:fill="00B050"/>
        </w:tcPr>
        <w:p w14:paraId="38B2942E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low</w:t>
          </w:r>
        </w:p>
      </w:tc>
      <w:tc>
        <w:tcPr>
          <w:tcW w:w="0" w:type="auto"/>
          <w:shd w:val="clear" w:color="auto" w:fill="00B050"/>
        </w:tcPr>
        <w:p w14:paraId="35EB6BFF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low</w:t>
          </w:r>
        </w:p>
      </w:tc>
      <w:tc>
        <w:tcPr>
          <w:tcW w:w="0" w:type="auto"/>
          <w:shd w:val="clear" w:color="auto" w:fill="92D050"/>
        </w:tcPr>
        <w:p w14:paraId="239AF3D3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92D050"/>
        </w:tcPr>
        <w:p w14:paraId="0A88A57F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92D050"/>
        </w:tcPr>
        <w:p w14:paraId="3741A352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</w:tr>
    <w:tr w:rsidR="00AE6C77" w:rsidRPr="003916DA" w14:paraId="19C98A8B" w14:textId="77777777" w:rsidTr="00290604">
      <w:tc>
        <w:tcPr>
          <w:tcW w:w="0" w:type="auto"/>
          <w:vMerge/>
          <w:textDirection w:val="btLr"/>
        </w:tcPr>
        <w:p w14:paraId="24DCB2B4" w14:textId="77777777" w:rsidR="00AE6C77" w:rsidRPr="003916DA" w:rsidRDefault="00AE6C77" w:rsidP="00290604">
          <w:pPr>
            <w:ind w:left="113" w:right="113"/>
            <w:rPr>
              <w:rFonts w:cs="Arial"/>
              <w:sz w:val="16"/>
              <w:szCs w:val="16"/>
            </w:rPr>
          </w:pPr>
        </w:p>
      </w:tc>
      <w:tc>
        <w:tcPr>
          <w:tcW w:w="0" w:type="auto"/>
          <w:vMerge w:val="restart"/>
        </w:tcPr>
        <w:p w14:paraId="41C06999" w14:textId="77777777" w:rsidR="00AE6C77" w:rsidRPr="008B0000" w:rsidRDefault="00AE6C77" w:rsidP="00290604">
          <w:pPr>
            <w:rPr>
              <w:rFonts w:cs="Arial"/>
              <w:b/>
              <w:sz w:val="16"/>
              <w:szCs w:val="16"/>
            </w:rPr>
          </w:pPr>
          <w:r w:rsidRPr="008B0000">
            <w:rPr>
              <w:rFonts w:cs="Arial"/>
              <w:b/>
              <w:sz w:val="16"/>
              <w:szCs w:val="16"/>
            </w:rPr>
            <w:t>R = LxC</w:t>
          </w:r>
        </w:p>
      </w:tc>
      <w:tc>
        <w:tcPr>
          <w:tcW w:w="0" w:type="auto"/>
        </w:tcPr>
        <w:p w14:paraId="0D9FF3FE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unlikely</w:t>
          </w:r>
        </w:p>
      </w:tc>
      <w:tc>
        <w:tcPr>
          <w:tcW w:w="0" w:type="auto"/>
        </w:tcPr>
        <w:p w14:paraId="4C600FD8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Unlikely</w:t>
          </w:r>
        </w:p>
      </w:tc>
      <w:tc>
        <w:tcPr>
          <w:tcW w:w="0" w:type="auto"/>
        </w:tcPr>
        <w:p w14:paraId="1C4CB0A1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Fairly likely</w:t>
          </w:r>
        </w:p>
      </w:tc>
      <w:tc>
        <w:tcPr>
          <w:tcW w:w="0" w:type="auto"/>
        </w:tcPr>
        <w:p w14:paraId="4520DE30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Likely</w:t>
          </w:r>
        </w:p>
      </w:tc>
      <w:tc>
        <w:tcPr>
          <w:tcW w:w="0" w:type="auto"/>
        </w:tcPr>
        <w:p w14:paraId="18F8BF24" w14:textId="77777777" w:rsidR="00AE6C77" w:rsidRPr="003916DA" w:rsidRDefault="00AE6C77" w:rsidP="00290604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likely</w:t>
          </w:r>
        </w:p>
      </w:tc>
    </w:tr>
    <w:tr w:rsidR="00AE6C77" w:rsidRPr="003916DA" w14:paraId="74F0916C" w14:textId="77777777" w:rsidTr="00290604">
      <w:trPr>
        <w:trHeight w:val="215"/>
      </w:trPr>
      <w:tc>
        <w:tcPr>
          <w:tcW w:w="0" w:type="auto"/>
          <w:vMerge/>
          <w:textDirection w:val="btLr"/>
        </w:tcPr>
        <w:p w14:paraId="63D4AE64" w14:textId="77777777" w:rsidR="00AE6C77" w:rsidRPr="003916DA" w:rsidRDefault="00AE6C77" w:rsidP="00290604">
          <w:pPr>
            <w:ind w:left="113" w:right="113"/>
            <w:rPr>
              <w:rFonts w:cs="Arial"/>
              <w:sz w:val="16"/>
              <w:szCs w:val="16"/>
            </w:rPr>
          </w:pPr>
        </w:p>
      </w:tc>
      <w:tc>
        <w:tcPr>
          <w:tcW w:w="0" w:type="auto"/>
          <w:vMerge/>
        </w:tcPr>
        <w:p w14:paraId="71331F7F" w14:textId="77777777" w:rsidR="00AE6C77" w:rsidRPr="003916DA" w:rsidRDefault="00AE6C77" w:rsidP="00290604">
          <w:pPr>
            <w:rPr>
              <w:rFonts w:cs="Arial"/>
              <w:sz w:val="16"/>
              <w:szCs w:val="16"/>
            </w:rPr>
          </w:pPr>
        </w:p>
      </w:tc>
      <w:tc>
        <w:tcPr>
          <w:tcW w:w="0" w:type="auto"/>
          <w:gridSpan w:val="5"/>
        </w:tcPr>
        <w:p w14:paraId="514C3DED" w14:textId="77777777" w:rsidR="00AE6C77" w:rsidRPr="003916DA" w:rsidRDefault="00AE6C77" w:rsidP="00290604">
          <w:pPr>
            <w:jc w:val="center"/>
            <w:rPr>
              <w:rFonts w:cs="Arial"/>
              <w:b/>
              <w:sz w:val="16"/>
              <w:szCs w:val="16"/>
            </w:rPr>
          </w:pPr>
          <w:r w:rsidRPr="003916DA">
            <w:rPr>
              <w:rFonts w:cs="Arial"/>
              <w:b/>
              <w:sz w:val="16"/>
              <w:szCs w:val="16"/>
            </w:rPr>
            <w:t>Likelihood of hazardous event</w:t>
          </w:r>
        </w:p>
      </w:tc>
    </w:tr>
    <w:bookmarkEnd w:id="0"/>
    <w:bookmarkEnd w:id="1"/>
  </w:tbl>
  <w:p w14:paraId="4C07E4C1" w14:textId="77777777" w:rsidR="00AE6C77" w:rsidRPr="00BD2CB5" w:rsidRDefault="00AE6C77" w:rsidP="00AE6C77">
    <w:pPr>
      <w:pStyle w:val="Footer"/>
    </w:pPr>
  </w:p>
  <w:p w14:paraId="65DF9827" w14:textId="77777777" w:rsidR="00AE6C77" w:rsidRDefault="00AE6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1DD3" w14:textId="77777777" w:rsidR="000E6392" w:rsidRDefault="000E6392" w:rsidP="004F674E">
      <w:r>
        <w:separator/>
      </w:r>
    </w:p>
  </w:footnote>
  <w:footnote w:type="continuationSeparator" w:id="0">
    <w:p w14:paraId="2BD92B4A" w14:textId="77777777" w:rsidR="000E6392" w:rsidRDefault="000E6392" w:rsidP="004F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2762" w14:textId="77777777" w:rsidR="006F7483" w:rsidRDefault="00F67FC5" w:rsidP="006F7483">
    <w:pPr>
      <w:pStyle w:val="Style1"/>
    </w:pPr>
    <w:r>
      <w:t xml:space="preserve"> </w:t>
    </w:r>
  </w:p>
  <w:p w14:paraId="68F3CED0" w14:textId="77777777" w:rsidR="006F7483" w:rsidRDefault="006F7483" w:rsidP="006F7483">
    <w:pPr>
      <w:pStyle w:val="Style1"/>
    </w:pPr>
  </w:p>
  <w:p w14:paraId="6C51F733" w14:textId="77777777" w:rsidR="0091692A" w:rsidRDefault="0091692A" w:rsidP="0091692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5141" w14:textId="77777777" w:rsidR="00AE6C77" w:rsidRDefault="00AE6C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65881" wp14:editId="041E2C3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603375" cy="719455"/>
          <wp:effectExtent l="0" t="0" r="0" b="4445"/>
          <wp:wrapSquare wrapText="bothSides"/>
          <wp:docPr id="7" name="Picture 7" descr="University of Esse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University of Essex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6946" w:type="dxa"/>
      <w:tblInd w:w="7621" w:type="dxa"/>
      <w:tblLook w:val="04A0" w:firstRow="1" w:lastRow="0" w:firstColumn="1" w:lastColumn="0" w:noHBand="0" w:noVBand="1"/>
    </w:tblPr>
    <w:tblGrid>
      <w:gridCol w:w="2461"/>
      <w:gridCol w:w="2217"/>
      <w:gridCol w:w="1134"/>
      <w:gridCol w:w="1134"/>
    </w:tblGrid>
    <w:tr w:rsidR="00AE6C77" w14:paraId="78C4FDD9" w14:textId="77777777" w:rsidTr="00E90827">
      <w:tc>
        <w:tcPr>
          <w:tcW w:w="2461" w:type="dxa"/>
          <w:shd w:val="clear" w:color="auto" w:fill="F2F2F2" w:themeFill="background1" w:themeFillShade="F2"/>
        </w:tcPr>
        <w:p w14:paraId="58AF17B5" w14:textId="77777777" w:rsidR="00AE6C77" w:rsidRPr="00AE6C77" w:rsidRDefault="00AE6C77" w:rsidP="00290604">
          <w:pPr>
            <w:pStyle w:val="Style1"/>
            <w:spacing w:before="80" w:after="80"/>
            <w:rPr>
              <w:b/>
            </w:rPr>
          </w:pPr>
          <w:r w:rsidRPr="00AE6C77">
            <w:rPr>
              <w:b/>
            </w:rPr>
            <w:t>File name:</w:t>
          </w:r>
        </w:p>
      </w:tc>
      <w:tc>
        <w:tcPr>
          <w:tcW w:w="4485" w:type="dxa"/>
          <w:gridSpan w:val="3"/>
        </w:tcPr>
        <w:p w14:paraId="502D6693" w14:textId="77777777" w:rsidR="00AE6C77" w:rsidRDefault="00AE6C77" w:rsidP="00290604">
          <w:pPr>
            <w:pStyle w:val="Style1"/>
            <w:spacing w:before="80" w:after="80"/>
          </w:pPr>
        </w:p>
      </w:tc>
    </w:tr>
    <w:tr w:rsidR="00AE6C77" w14:paraId="4EB4405C" w14:textId="77777777" w:rsidTr="00E90827">
      <w:tc>
        <w:tcPr>
          <w:tcW w:w="2461" w:type="dxa"/>
          <w:shd w:val="clear" w:color="auto" w:fill="F2F2F2" w:themeFill="background1" w:themeFillShade="F2"/>
        </w:tcPr>
        <w:p w14:paraId="384B75FA" w14:textId="77777777" w:rsidR="00AE6C77" w:rsidRPr="00AE6C77" w:rsidRDefault="00AE6C77" w:rsidP="00290604">
          <w:pPr>
            <w:pStyle w:val="Style1"/>
            <w:spacing w:before="80" w:after="80"/>
            <w:rPr>
              <w:b/>
            </w:rPr>
          </w:pPr>
          <w:r w:rsidRPr="00AE6C77">
            <w:rPr>
              <w:b/>
            </w:rPr>
            <w:t>Risk assessment reference:</w:t>
          </w:r>
        </w:p>
      </w:tc>
      <w:tc>
        <w:tcPr>
          <w:tcW w:w="2217" w:type="dxa"/>
        </w:tcPr>
        <w:p w14:paraId="41F9D34F" w14:textId="77777777" w:rsidR="00AE6C77" w:rsidRDefault="00AE6C77" w:rsidP="00290604">
          <w:pPr>
            <w:pStyle w:val="Style1"/>
            <w:spacing w:before="80" w:after="80"/>
          </w:pPr>
        </w:p>
      </w:tc>
      <w:tc>
        <w:tcPr>
          <w:tcW w:w="1134" w:type="dxa"/>
          <w:shd w:val="clear" w:color="auto" w:fill="F2F2F2" w:themeFill="background1" w:themeFillShade="F2"/>
        </w:tcPr>
        <w:p w14:paraId="282C4F39" w14:textId="77777777" w:rsidR="00AE6C77" w:rsidRDefault="00AE6C77" w:rsidP="00290604">
          <w:pPr>
            <w:pStyle w:val="Style1"/>
            <w:spacing w:before="80" w:after="80"/>
          </w:pPr>
          <w:r w:rsidRPr="00AE6C77">
            <w:rPr>
              <w:b/>
            </w:rPr>
            <w:t>Version number</w:t>
          </w:r>
          <w:r>
            <w:t>:</w:t>
          </w:r>
        </w:p>
      </w:tc>
      <w:tc>
        <w:tcPr>
          <w:tcW w:w="1134" w:type="dxa"/>
        </w:tcPr>
        <w:p w14:paraId="46E80929" w14:textId="77777777" w:rsidR="00AE6C77" w:rsidRDefault="00AE6C77" w:rsidP="00290604">
          <w:pPr>
            <w:pStyle w:val="Style1"/>
            <w:spacing w:before="80" w:after="80"/>
          </w:pPr>
        </w:p>
      </w:tc>
    </w:tr>
  </w:tbl>
  <w:p w14:paraId="7415FAC9" w14:textId="77777777" w:rsidR="00AE6C77" w:rsidRDefault="00AE6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6CF"/>
    <w:multiLevelType w:val="hybridMultilevel"/>
    <w:tmpl w:val="FB102F0C"/>
    <w:lvl w:ilvl="0" w:tplc="43D6E3A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CAC0E09"/>
    <w:multiLevelType w:val="hybridMultilevel"/>
    <w:tmpl w:val="450C5B2A"/>
    <w:lvl w:ilvl="0" w:tplc="C8B20A8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D784ABA"/>
    <w:multiLevelType w:val="hybridMultilevel"/>
    <w:tmpl w:val="19C88D3A"/>
    <w:lvl w:ilvl="0" w:tplc="BD0C256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04A1161"/>
    <w:multiLevelType w:val="hybridMultilevel"/>
    <w:tmpl w:val="DB3E7310"/>
    <w:lvl w:ilvl="0" w:tplc="8E9ED7B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03027697">
    <w:abstractNumId w:val="1"/>
  </w:num>
  <w:num w:numId="2" w16cid:durableId="71859717">
    <w:abstractNumId w:val="3"/>
  </w:num>
  <w:num w:numId="3" w16cid:durableId="1854801625">
    <w:abstractNumId w:val="2"/>
  </w:num>
  <w:num w:numId="4" w16cid:durableId="41231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20"/>
    <w:rsid w:val="00037E20"/>
    <w:rsid w:val="000A04E0"/>
    <w:rsid w:val="000B45D3"/>
    <w:rsid w:val="000B76B4"/>
    <w:rsid w:val="000E6392"/>
    <w:rsid w:val="0018125D"/>
    <w:rsid w:val="001A34C0"/>
    <w:rsid w:val="001E359A"/>
    <w:rsid w:val="0023479F"/>
    <w:rsid w:val="00271AC1"/>
    <w:rsid w:val="002C6D2B"/>
    <w:rsid w:val="0030110B"/>
    <w:rsid w:val="00334512"/>
    <w:rsid w:val="00350C28"/>
    <w:rsid w:val="00364962"/>
    <w:rsid w:val="003916DA"/>
    <w:rsid w:val="003A5FDC"/>
    <w:rsid w:val="003E102A"/>
    <w:rsid w:val="003E784C"/>
    <w:rsid w:val="00412243"/>
    <w:rsid w:val="00435DDD"/>
    <w:rsid w:val="004710AA"/>
    <w:rsid w:val="004D5EFA"/>
    <w:rsid w:val="004F674E"/>
    <w:rsid w:val="00500BF5"/>
    <w:rsid w:val="00552E6C"/>
    <w:rsid w:val="00597CD0"/>
    <w:rsid w:val="005B0744"/>
    <w:rsid w:val="0063375F"/>
    <w:rsid w:val="006365CD"/>
    <w:rsid w:val="00671C12"/>
    <w:rsid w:val="006B1606"/>
    <w:rsid w:val="006E16A5"/>
    <w:rsid w:val="006F1A83"/>
    <w:rsid w:val="006F7483"/>
    <w:rsid w:val="007D3566"/>
    <w:rsid w:val="00803C6C"/>
    <w:rsid w:val="008223CA"/>
    <w:rsid w:val="00835550"/>
    <w:rsid w:val="00853E80"/>
    <w:rsid w:val="00883AE0"/>
    <w:rsid w:val="008B0000"/>
    <w:rsid w:val="008D07C6"/>
    <w:rsid w:val="008D4215"/>
    <w:rsid w:val="0091692A"/>
    <w:rsid w:val="009D1868"/>
    <w:rsid w:val="00A23B1E"/>
    <w:rsid w:val="00A31DAD"/>
    <w:rsid w:val="00AA0759"/>
    <w:rsid w:val="00AC7A8F"/>
    <w:rsid w:val="00AE6C77"/>
    <w:rsid w:val="00B90263"/>
    <w:rsid w:val="00BA4B12"/>
    <w:rsid w:val="00BD2CB5"/>
    <w:rsid w:val="00BD734B"/>
    <w:rsid w:val="00BE5DD1"/>
    <w:rsid w:val="00BF25AE"/>
    <w:rsid w:val="00C725C4"/>
    <w:rsid w:val="00C74629"/>
    <w:rsid w:val="00DA4E7E"/>
    <w:rsid w:val="00DA6375"/>
    <w:rsid w:val="00DB1A68"/>
    <w:rsid w:val="00DC08ED"/>
    <w:rsid w:val="00E30793"/>
    <w:rsid w:val="00E327BA"/>
    <w:rsid w:val="00E33F17"/>
    <w:rsid w:val="00E666E3"/>
    <w:rsid w:val="00E90827"/>
    <w:rsid w:val="00EC58A2"/>
    <w:rsid w:val="00EE5746"/>
    <w:rsid w:val="00F038A7"/>
    <w:rsid w:val="00F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14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744"/>
    <w:pPr>
      <w:spacing w:after="0" w:line="240" w:lineRule="auto"/>
    </w:pPr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AC7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74E"/>
  </w:style>
  <w:style w:type="paragraph" w:styleId="Footer">
    <w:name w:val="footer"/>
    <w:basedOn w:val="Normal"/>
    <w:link w:val="FooterChar"/>
    <w:uiPriority w:val="99"/>
    <w:unhideWhenUsed/>
    <w:rsid w:val="004F6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74E"/>
  </w:style>
  <w:style w:type="paragraph" w:styleId="BalloonText">
    <w:name w:val="Balloon Text"/>
    <w:basedOn w:val="Normal"/>
    <w:link w:val="BalloonTextChar"/>
    <w:uiPriority w:val="99"/>
    <w:semiHidden/>
    <w:unhideWhenUsed/>
    <w:rsid w:val="004F6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AC7A8F"/>
    <w:pPr>
      <w:jc w:val="right"/>
    </w:pPr>
    <w:rPr>
      <w:rFonts w:cs="Times New Roman"/>
      <w:noProof/>
    </w:rPr>
  </w:style>
  <w:style w:type="character" w:styleId="Strong">
    <w:name w:val="Strong"/>
    <w:basedOn w:val="DefaultParagraphFont"/>
    <w:uiPriority w:val="22"/>
    <w:qFormat/>
    <w:rsid w:val="005B0744"/>
    <w:rPr>
      <w:rFonts w:ascii="Arial" w:hAnsi="Arial"/>
      <w:b/>
      <w:bCs/>
      <w:sz w:val="22"/>
    </w:rPr>
  </w:style>
  <w:style w:type="paragraph" w:styleId="NoSpacing">
    <w:name w:val="No Spacing"/>
    <w:aliases w:val="Heading"/>
    <w:basedOn w:val="ListParagraph"/>
    <w:next w:val="Heading1"/>
    <w:link w:val="NoSpacingChar"/>
    <w:qFormat/>
    <w:rsid w:val="00AC7A8F"/>
    <w:pPr>
      <w:spacing w:after="120"/>
      <w:ind w:left="0"/>
    </w:pPr>
    <w:rPr>
      <w:rFonts w:eastAsia="Times New Roman" w:cs="Times New Roman"/>
      <w:b/>
      <w:sz w:val="24"/>
      <w:szCs w:val="28"/>
    </w:rPr>
  </w:style>
  <w:style w:type="character" w:customStyle="1" w:styleId="NoSpacingChar">
    <w:name w:val="No Spacing Char"/>
    <w:aliases w:val="Heading Char"/>
    <w:basedOn w:val="DefaultParagraphFont"/>
    <w:link w:val="NoSpacing"/>
    <w:rsid w:val="00AC7A8F"/>
    <w:rPr>
      <w:rFonts w:ascii="Arial" w:eastAsia="Times New Roman" w:hAnsi="Arial" w:cs="Times New Roman"/>
      <w:b/>
      <w:sz w:val="24"/>
      <w:szCs w:val="28"/>
      <w:lang w:eastAsia="en-GB"/>
    </w:rPr>
  </w:style>
  <w:style w:type="paragraph" w:styleId="ListParagraph">
    <w:name w:val="List Paragraph"/>
    <w:basedOn w:val="Normal"/>
    <w:uiPriority w:val="34"/>
    <w:rsid w:val="00AC7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7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Revision">
    <w:name w:val="Revision"/>
    <w:hidden/>
    <w:uiPriority w:val="99"/>
    <w:semiHidden/>
    <w:rsid w:val="00BF25AE"/>
    <w:pPr>
      <w:spacing w:after="0" w:line="240" w:lineRule="auto"/>
    </w:pPr>
    <w:rPr>
      <w:rFonts w:ascii="Arial" w:hAnsi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shan\Downloads\ra-template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ra-template (11)</Template>
  <TotalTime>0</TotalTime>
  <Pages>10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2024-06-05T13:35:00Z</dcterms:created>
  <dcterms:modified xsi:type="dcterms:W3CDTF">2024-07-05T09:40:00Z</dcterms:modified>
</cp:coreProperties>
</file>